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AC6CB8">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AC6CB8">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2503BE9D" w:rsidR="00333FAA" w:rsidRPr="005E3A10" w:rsidRDefault="00413890" w:rsidP="00A53B04">
            <w:pPr>
              <w:rPr>
                <w:rFonts w:cs="Arial"/>
                <w:szCs w:val="24"/>
              </w:rPr>
            </w:pPr>
            <w:r w:rsidRPr="004873F4">
              <w:rPr>
                <w:rFonts w:cs="Arial"/>
                <w:szCs w:val="24"/>
              </w:rPr>
              <w:t xml:space="preserve">18 </w:t>
            </w:r>
            <w:r w:rsidR="0018045A" w:rsidRPr="004873F4">
              <w:rPr>
                <w:rFonts w:cs="Arial"/>
                <w:szCs w:val="24"/>
              </w:rPr>
              <w:t>November</w:t>
            </w:r>
            <w:r w:rsidR="003A60EA" w:rsidRPr="004873F4">
              <w:rPr>
                <w:rFonts w:cs="Arial"/>
                <w:szCs w:val="24"/>
              </w:rPr>
              <w:t xml:space="preserve"> </w:t>
            </w:r>
            <w:r w:rsidR="00883C52" w:rsidRPr="004873F4">
              <w:rPr>
                <w:rFonts w:cs="Arial"/>
                <w:szCs w:val="24"/>
              </w:rPr>
              <w:t>2021</w:t>
            </w:r>
            <w:r w:rsidR="00883C52">
              <w:rPr>
                <w:rFonts w:cs="Arial"/>
                <w:szCs w:val="24"/>
              </w:rPr>
              <w:t xml:space="preserve"> </w:t>
            </w:r>
          </w:p>
        </w:tc>
      </w:tr>
      <w:tr w:rsidR="00333FAA" w14:paraId="3CC97725" w14:textId="77777777" w:rsidTr="00AC6CB8">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1A7470F8" w14:textId="4E3B3BB7" w:rsidR="00291F11" w:rsidRPr="009B2437" w:rsidRDefault="00291F11" w:rsidP="00291F11">
            <w:pPr>
              <w:rPr>
                <w:rFonts w:cs="Arial"/>
                <w:szCs w:val="24"/>
              </w:rPr>
            </w:pPr>
            <w:r w:rsidRPr="009B2437">
              <w:rPr>
                <w:rFonts w:cs="Arial"/>
                <w:szCs w:val="24"/>
              </w:rPr>
              <w:t xml:space="preserve">Request </w:t>
            </w:r>
            <w:r w:rsidR="003A60EA" w:rsidRPr="009B2437">
              <w:rPr>
                <w:rFonts w:cs="Arial"/>
                <w:szCs w:val="24"/>
              </w:rPr>
              <w:t>authority</w:t>
            </w:r>
            <w:r w:rsidRPr="009B2437">
              <w:rPr>
                <w:rFonts w:cs="Arial"/>
                <w:szCs w:val="24"/>
              </w:rPr>
              <w:t xml:space="preserve"> to award the Housing domestic and commercial gas contracts.</w:t>
            </w:r>
          </w:p>
          <w:p w14:paraId="079C3B25" w14:textId="446D8494" w:rsidR="00333FAA" w:rsidRDefault="00333FAA" w:rsidP="00A53B04">
            <w:pPr>
              <w:rPr>
                <w:rFonts w:cs="Arial"/>
                <w:color w:val="FF0000"/>
                <w:szCs w:val="24"/>
              </w:rPr>
            </w:pPr>
          </w:p>
          <w:p w14:paraId="6D8FB2C1" w14:textId="507A870F" w:rsidR="0030753F" w:rsidRPr="00A31C2A" w:rsidRDefault="0030753F" w:rsidP="00A53B04">
            <w:pPr>
              <w:rPr>
                <w:rFonts w:cs="Arial"/>
                <w:color w:val="FF0000"/>
                <w:szCs w:val="24"/>
              </w:rPr>
            </w:pPr>
          </w:p>
        </w:tc>
      </w:tr>
      <w:tr w:rsidR="00333FAA" w14:paraId="32449166" w14:textId="77777777" w:rsidTr="00AC6CB8">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2" w:type="dxa"/>
          </w:tcPr>
          <w:p w14:paraId="6D1B2CD3" w14:textId="1BE7ADBE" w:rsidR="001C7E35" w:rsidRPr="005E3A10" w:rsidRDefault="001C7E35" w:rsidP="001C7E35">
            <w:pPr>
              <w:pStyle w:val="Infotext"/>
              <w:rPr>
                <w:rFonts w:cs="Arial"/>
                <w:sz w:val="24"/>
                <w:szCs w:val="24"/>
              </w:rPr>
            </w:pPr>
            <w:r w:rsidRPr="005E3A10">
              <w:rPr>
                <w:rFonts w:cs="Arial"/>
                <w:sz w:val="24"/>
                <w:szCs w:val="24"/>
              </w:rPr>
              <w:t xml:space="preserve">Yes </w:t>
            </w:r>
            <w:r w:rsidR="00AC6CB8">
              <w:rPr>
                <w:rFonts w:cs="Arial"/>
                <w:sz w:val="24"/>
                <w:szCs w:val="24"/>
              </w:rPr>
              <w:t xml:space="preserve"> </w:t>
            </w:r>
          </w:p>
          <w:p w14:paraId="4AE49827" w14:textId="5057B739" w:rsidR="001C7E35" w:rsidRPr="005E3A10" w:rsidRDefault="00AC6CB8" w:rsidP="001C7E35">
            <w:pPr>
              <w:pStyle w:val="Infotext"/>
              <w:rPr>
                <w:rFonts w:cs="Arial"/>
                <w:color w:val="FF0000"/>
                <w:sz w:val="24"/>
                <w:szCs w:val="24"/>
              </w:rPr>
            </w:pPr>
            <w:r>
              <w:rPr>
                <w:rFonts w:cs="Arial"/>
                <w:color w:val="FF0000"/>
                <w:sz w:val="24"/>
                <w:szCs w:val="24"/>
              </w:rPr>
              <w:t xml:space="preserve"> </w:t>
            </w:r>
          </w:p>
          <w:p w14:paraId="3EADF2B3" w14:textId="77777777" w:rsidR="00333FAA" w:rsidRPr="005E3A10" w:rsidRDefault="00333FAA" w:rsidP="00A53B04">
            <w:pPr>
              <w:rPr>
                <w:rFonts w:cs="Arial"/>
                <w:szCs w:val="24"/>
              </w:rPr>
            </w:pPr>
          </w:p>
        </w:tc>
      </w:tr>
      <w:tr w:rsidR="001C7E35" w14:paraId="79E96200" w14:textId="77777777" w:rsidTr="00AC6CB8">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5E05DA61" w14:textId="2C4A9089" w:rsidR="00581B4A" w:rsidRDefault="00092058" w:rsidP="00AC6CB8">
            <w:pPr>
              <w:pStyle w:val="Infotext"/>
              <w:rPr>
                <w:rFonts w:cs="Arial"/>
                <w:sz w:val="24"/>
                <w:szCs w:val="24"/>
              </w:rPr>
            </w:pPr>
            <w:r w:rsidRPr="00092058">
              <w:rPr>
                <w:rFonts w:cs="Arial"/>
                <w:sz w:val="24"/>
                <w:szCs w:val="24"/>
              </w:rPr>
              <w:t>Dipti Patel Corporate Director Community</w:t>
            </w:r>
          </w:p>
          <w:p w14:paraId="4FADB37A" w14:textId="70450E66" w:rsidR="00AC6CB8" w:rsidRPr="005E3A10" w:rsidRDefault="00AC6CB8" w:rsidP="00AC6CB8">
            <w:pPr>
              <w:pStyle w:val="Infotext"/>
              <w:rPr>
                <w:rFonts w:cs="Arial"/>
                <w:sz w:val="24"/>
                <w:szCs w:val="24"/>
              </w:rPr>
            </w:pPr>
            <w:r>
              <w:rPr>
                <w:rFonts w:cs="Arial"/>
                <w:sz w:val="24"/>
                <w:szCs w:val="24"/>
              </w:rPr>
              <w:t>Julian Higson, Divisional Director of Housing</w:t>
            </w:r>
            <w:r w:rsidR="00894A74">
              <w:rPr>
                <w:rFonts w:cs="Arial"/>
                <w:sz w:val="24"/>
                <w:szCs w:val="24"/>
              </w:rPr>
              <w:t xml:space="preserve"> Services</w:t>
            </w:r>
            <w:bookmarkStart w:id="0" w:name="_GoBack"/>
            <w:bookmarkEnd w:id="0"/>
          </w:p>
          <w:p w14:paraId="3798BF23" w14:textId="77777777" w:rsidR="001C7E35" w:rsidRPr="005E3A10" w:rsidRDefault="001C7E35" w:rsidP="00D835CF">
            <w:pPr>
              <w:pStyle w:val="Infotext"/>
              <w:rPr>
                <w:rFonts w:cs="Arial"/>
                <w:sz w:val="24"/>
                <w:szCs w:val="24"/>
              </w:rPr>
            </w:pPr>
          </w:p>
        </w:tc>
      </w:tr>
      <w:tr w:rsidR="00AC6CB8" w14:paraId="3B6FD8B1" w14:textId="77777777" w:rsidTr="00AC6CB8">
        <w:tc>
          <w:tcPr>
            <w:tcW w:w="3397" w:type="dxa"/>
          </w:tcPr>
          <w:p w14:paraId="0961945D" w14:textId="77777777" w:rsidR="00AC6CB8" w:rsidRPr="00C13A5F" w:rsidRDefault="00AC6CB8" w:rsidP="00AC6CB8">
            <w:pPr>
              <w:pStyle w:val="Infotext"/>
              <w:spacing w:after="240"/>
              <w:rPr>
                <w:rFonts w:ascii="Arial Black" w:hAnsi="Arial Black"/>
              </w:rPr>
            </w:pPr>
            <w:r w:rsidRPr="00DB6C3D">
              <w:rPr>
                <w:rFonts w:ascii="Arial Black" w:hAnsi="Arial Black"/>
              </w:rPr>
              <w:t>Portfolio Holder:</w:t>
            </w:r>
          </w:p>
        </w:tc>
        <w:tc>
          <w:tcPr>
            <w:tcW w:w="4912" w:type="dxa"/>
          </w:tcPr>
          <w:p w14:paraId="668ECE77" w14:textId="19DC8996" w:rsidR="009A2E6C" w:rsidRDefault="009A2E6C" w:rsidP="009A2E6C">
            <w:pPr>
              <w:pStyle w:val="Infotext"/>
              <w:rPr>
                <w:rFonts w:cs="Arial"/>
                <w:sz w:val="24"/>
                <w:szCs w:val="24"/>
              </w:rPr>
            </w:pPr>
            <w:r>
              <w:rPr>
                <w:rFonts w:cs="Arial"/>
                <w:sz w:val="24"/>
                <w:szCs w:val="24"/>
              </w:rPr>
              <w:t>Councillor Philip O’Dell, Portfolio Holder for Housing. Councillor Natasha Proctor, Deputy</w:t>
            </w:r>
            <w:r w:rsidRPr="00F84738">
              <w:rPr>
                <w:rFonts w:cs="Arial"/>
                <w:sz w:val="24"/>
                <w:szCs w:val="24"/>
              </w:rPr>
              <w:t xml:space="preserve"> </w:t>
            </w:r>
            <w:r>
              <w:rPr>
                <w:rFonts w:cs="Arial"/>
                <w:sz w:val="24"/>
                <w:szCs w:val="24"/>
              </w:rPr>
              <w:t>L</w:t>
            </w:r>
            <w:r w:rsidRPr="00F84738">
              <w:rPr>
                <w:rFonts w:cs="Arial"/>
                <w:sz w:val="24"/>
                <w:szCs w:val="24"/>
              </w:rPr>
              <w:t>eader</w:t>
            </w:r>
            <w:r>
              <w:rPr>
                <w:rFonts w:cs="Arial"/>
                <w:sz w:val="24"/>
                <w:szCs w:val="24"/>
              </w:rPr>
              <w:t xml:space="preserve"> and Portfolio Holder for Finance and Resources</w:t>
            </w:r>
          </w:p>
          <w:p w14:paraId="39A9A01A" w14:textId="6CC48D67" w:rsidR="00AC6CB8" w:rsidRPr="005E3A10" w:rsidRDefault="00AC6CB8" w:rsidP="00AC6CB8">
            <w:pPr>
              <w:pStyle w:val="Infotext"/>
              <w:rPr>
                <w:rFonts w:cs="Arial"/>
                <w:color w:val="FF0000"/>
                <w:sz w:val="24"/>
                <w:szCs w:val="24"/>
              </w:rPr>
            </w:pPr>
          </w:p>
        </w:tc>
      </w:tr>
      <w:tr w:rsidR="001C7E35" w14:paraId="3CF618C8" w14:textId="77777777" w:rsidTr="00AC6CB8">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4912" w:type="dxa"/>
          </w:tcPr>
          <w:p w14:paraId="64F60393" w14:textId="77777777" w:rsidR="00E34360" w:rsidRDefault="00A31C2A" w:rsidP="009A2E6C">
            <w:pPr>
              <w:pStyle w:val="BodyText"/>
              <w:ind w:left="577" w:hanging="577"/>
              <w:rPr>
                <w:i w:val="0"/>
                <w:iCs w:val="0"/>
                <w:szCs w:val="24"/>
              </w:rPr>
            </w:pPr>
            <w:r w:rsidRPr="004E38B7">
              <w:rPr>
                <w:i w:val="0"/>
                <w:iCs w:val="0"/>
                <w:color w:val="000000" w:themeColor="text1"/>
                <w:szCs w:val="24"/>
              </w:rPr>
              <w:t>Partially exempt</w:t>
            </w:r>
            <w:r w:rsidR="00954858">
              <w:rPr>
                <w:i w:val="0"/>
                <w:iCs w:val="0"/>
                <w:color w:val="000000" w:themeColor="text1"/>
                <w:szCs w:val="24"/>
              </w:rPr>
              <w:t xml:space="preserve"> - </w:t>
            </w:r>
            <w:r w:rsidR="00954858">
              <w:rPr>
                <w:i w:val="0"/>
                <w:iCs w:val="0"/>
                <w:szCs w:val="24"/>
              </w:rPr>
              <w:t xml:space="preserve">Appendices 1 and 2 </w:t>
            </w:r>
            <w:r w:rsidR="00E34360">
              <w:rPr>
                <w:i w:val="0"/>
                <w:iCs w:val="0"/>
                <w:szCs w:val="24"/>
              </w:rPr>
              <w:t xml:space="preserve">in </w:t>
            </w:r>
          </w:p>
          <w:p w14:paraId="71F1CAB8" w14:textId="5C8E94F9" w:rsidR="009A2E6C" w:rsidRDefault="009A2E6C" w:rsidP="009A2E6C">
            <w:pPr>
              <w:pStyle w:val="BodyText"/>
              <w:ind w:left="577" w:hanging="577"/>
              <w:rPr>
                <w:i w:val="0"/>
                <w:iCs w:val="0"/>
              </w:rPr>
            </w:pPr>
            <w:r w:rsidRPr="00F84738">
              <w:rPr>
                <w:i w:val="0"/>
                <w:iCs w:val="0"/>
              </w:rPr>
              <w:t xml:space="preserve">the report </w:t>
            </w:r>
            <w:r w:rsidR="00EF7D5B" w:rsidRPr="00F84738">
              <w:rPr>
                <w:i w:val="0"/>
                <w:iCs w:val="0"/>
              </w:rPr>
              <w:t>contain</w:t>
            </w:r>
            <w:r w:rsidR="00EF7D5B">
              <w:rPr>
                <w:i w:val="0"/>
                <w:iCs w:val="0"/>
              </w:rPr>
              <w:t>s</w:t>
            </w:r>
            <w:r w:rsidR="00EF7D5B" w:rsidRPr="00F84738">
              <w:rPr>
                <w:i w:val="0"/>
                <w:iCs w:val="0"/>
              </w:rPr>
              <w:t xml:space="preserve"> exempt</w:t>
            </w:r>
            <w:r w:rsidRPr="00F84738">
              <w:rPr>
                <w:i w:val="0"/>
                <w:iCs w:val="0"/>
              </w:rPr>
              <w:t xml:space="preserve"> information</w:t>
            </w:r>
            <w:r w:rsidR="00485257">
              <w:rPr>
                <w:i w:val="0"/>
                <w:iCs w:val="0"/>
              </w:rPr>
              <w:t xml:space="preserve"> </w:t>
            </w:r>
          </w:p>
          <w:p w14:paraId="32B89171" w14:textId="77777777" w:rsidR="00311D40" w:rsidRDefault="009A2E6C" w:rsidP="00311D40">
            <w:pPr>
              <w:pStyle w:val="BodyText"/>
              <w:ind w:left="577" w:hanging="577"/>
              <w:rPr>
                <w:i w:val="0"/>
                <w:iCs w:val="0"/>
                <w:szCs w:val="24"/>
              </w:rPr>
            </w:pPr>
            <w:r w:rsidRPr="00F84738">
              <w:rPr>
                <w:i w:val="0"/>
                <w:iCs w:val="0"/>
              </w:rPr>
              <w:t>u</w:t>
            </w:r>
            <w:r w:rsidRPr="00F84738">
              <w:rPr>
                <w:i w:val="0"/>
                <w:iCs w:val="0"/>
                <w:szCs w:val="24"/>
              </w:rPr>
              <w:t>nder Category 3</w:t>
            </w:r>
            <w:r w:rsidR="00311D40">
              <w:rPr>
                <w:i w:val="0"/>
                <w:iCs w:val="0"/>
                <w:szCs w:val="24"/>
              </w:rPr>
              <w:t xml:space="preserve"> as i</w:t>
            </w:r>
            <w:r w:rsidRPr="00F84738">
              <w:rPr>
                <w:i w:val="0"/>
                <w:iCs w:val="0"/>
                <w:szCs w:val="24"/>
              </w:rPr>
              <w:t>nformation relates to</w:t>
            </w:r>
          </w:p>
          <w:p w14:paraId="552EA4E4" w14:textId="07B7AD15" w:rsidR="009A2E6C" w:rsidRPr="00311D40" w:rsidRDefault="009A2E6C" w:rsidP="00311D40">
            <w:pPr>
              <w:pStyle w:val="BodyText"/>
              <w:ind w:left="577" w:hanging="577"/>
              <w:rPr>
                <w:i w:val="0"/>
                <w:iCs w:val="0"/>
              </w:rPr>
            </w:pPr>
            <w:r w:rsidRPr="00F84738">
              <w:rPr>
                <w:i w:val="0"/>
                <w:iCs w:val="0"/>
                <w:szCs w:val="24"/>
              </w:rPr>
              <w:t>the</w:t>
            </w:r>
            <w:r w:rsidR="00641E98">
              <w:rPr>
                <w:i w:val="0"/>
                <w:iCs w:val="0"/>
                <w:szCs w:val="24"/>
              </w:rPr>
              <w:t xml:space="preserve"> </w:t>
            </w:r>
            <w:r w:rsidRPr="00F84738">
              <w:rPr>
                <w:i w:val="0"/>
                <w:iCs w:val="0"/>
                <w:szCs w:val="24"/>
              </w:rPr>
              <w:t>“Financial or business affairs of the</w:t>
            </w:r>
          </w:p>
          <w:p w14:paraId="79789657" w14:textId="77777777" w:rsidR="009A2E6C" w:rsidRPr="00F84738" w:rsidRDefault="009A2E6C" w:rsidP="009A2E6C">
            <w:pPr>
              <w:pStyle w:val="BodyText"/>
              <w:ind w:left="577" w:hanging="577"/>
              <w:rPr>
                <w:i w:val="0"/>
                <w:iCs w:val="0"/>
                <w:szCs w:val="24"/>
              </w:rPr>
            </w:pPr>
            <w:r w:rsidRPr="00F84738">
              <w:rPr>
                <w:i w:val="0"/>
                <w:iCs w:val="0"/>
                <w:szCs w:val="24"/>
              </w:rPr>
              <w:t xml:space="preserve">incumbent contractor”).      </w:t>
            </w:r>
          </w:p>
          <w:p w14:paraId="028183F4" w14:textId="222C8DCE" w:rsidR="00AC6CB8" w:rsidRPr="00A31C2A" w:rsidRDefault="00AC6CB8" w:rsidP="00A31C2A">
            <w:pPr>
              <w:pStyle w:val="Infotext"/>
              <w:rPr>
                <w:rFonts w:cs="Arial"/>
                <w:color w:val="FF0000"/>
                <w:sz w:val="24"/>
                <w:szCs w:val="24"/>
              </w:rPr>
            </w:pP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AC6CB8">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4912" w:type="dxa"/>
          </w:tcPr>
          <w:p w14:paraId="735D9283" w14:textId="77777777" w:rsidR="006B6C2C" w:rsidRDefault="006B6C2C" w:rsidP="00D835CF">
            <w:pPr>
              <w:pStyle w:val="Infotext"/>
              <w:rPr>
                <w:rFonts w:cs="Arial"/>
                <w:sz w:val="24"/>
                <w:szCs w:val="24"/>
              </w:rPr>
            </w:pPr>
          </w:p>
          <w:p w14:paraId="4B40AAFF" w14:textId="328354EB" w:rsidR="001C7E35" w:rsidRPr="00A31C2A" w:rsidRDefault="001C7E35" w:rsidP="00D835CF">
            <w:pPr>
              <w:pStyle w:val="Infotext"/>
              <w:rPr>
                <w:rFonts w:cs="Arial"/>
                <w:color w:val="FF0000"/>
                <w:sz w:val="24"/>
                <w:szCs w:val="24"/>
              </w:rPr>
            </w:pPr>
            <w:r w:rsidRPr="009E1D68">
              <w:rPr>
                <w:rFonts w:cs="Arial"/>
                <w:sz w:val="24"/>
                <w:szCs w:val="24"/>
              </w:rPr>
              <w:t>Yes</w:t>
            </w:r>
            <w:r w:rsidRPr="00A31C2A">
              <w:rPr>
                <w:rFonts w:cs="Arial"/>
                <w:color w:val="FF0000"/>
                <w:sz w:val="24"/>
                <w:szCs w:val="24"/>
              </w:rPr>
              <w:t xml:space="preserve"> </w:t>
            </w:r>
          </w:p>
          <w:p w14:paraId="0AECD361" w14:textId="706B238E" w:rsidR="001C7E35" w:rsidRPr="005E3A10" w:rsidRDefault="00A31C2A" w:rsidP="00D835CF">
            <w:pPr>
              <w:rPr>
                <w:rFonts w:cs="Arial"/>
                <w:szCs w:val="24"/>
              </w:rPr>
            </w:pPr>
            <w:r>
              <w:rPr>
                <w:rFonts w:cs="Arial"/>
                <w:szCs w:val="24"/>
              </w:rPr>
              <w:t xml:space="preserve"> </w:t>
            </w:r>
          </w:p>
          <w:p w14:paraId="3A75E271" w14:textId="77777777" w:rsidR="00714BEE" w:rsidRPr="005E3A10" w:rsidRDefault="00714BEE" w:rsidP="00D835CF">
            <w:pPr>
              <w:rPr>
                <w:rFonts w:cs="Arial"/>
                <w:szCs w:val="24"/>
              </w:rPr>
            </w:pPr>
          </w:p>
        </w:tc>
      </w:tr>
      <w:tr w:rsidR="001C7E35" w14:paraId="7E5497E1" w14:textId="77777777" w:rsidTr="00AC6CB8">
        <w:tc>
          <w:tcPr>
            <w:tcW w:w="3397"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4912" w:type="dxa"/>
          </w:tcPr>
          <w:p w14:paraId="52E38AE7" w14:textId="52DA8AA1" w:rsidR="00307F76" w:rsidRPr="00307F76" w:rsidRDefault="00883C52" w:rsidP="00D835CF">
            <w:pPr>
              <w:rPr>
                <w:rFonts w:cs="Arial"/>
                <w:b/>
                <w:color w:val="FF0000"/>
                <w:szCs w:val="24"/>
              </w:rPr>
            </w:pPr>
            <w:r>
              <w:rPr>
                <w:rFonts w:cs="Arial"/>
                <w:szCs w:val="24"/>
              </w:rPr>
              <w:t>All wards</w:t>
            </w:r>
          </w:p>
        </w:tc>
      </w:tr>
      <w:tr w:rsidR="001C7E35" w14:paraId="5F1445BF" w14:textId="77777777" w:rsidTr="00AC6CB8">
        <w:tc>
          <w:tcPr>
            <w:tcW w:w="3397"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4912" w:type="dxa"/>
          </w:tcPr>
          <w:p w14:paraId="47377A96" w14:textId="32BCD574" w:rsidR="00883C52" w:rsidRPr="004E38B7" w:rsidRDefault="00883C52" w:rsidP="001C7E35">
            <w:pPr>
              <w:pStyle w:val="Infotext"/>
              <w:rPr>
                <w:rFonts w:cs="Arial"/>
                <w:color w:val="000000" w:themeColor="text1"/>
                <w:sz w:val="24"/>
                <w:szCs w:val="24"/>
              </w:rPr>
            </w:pPr>
            <w:r w:rsidRPr="004E38B7">
              <w:rPr>
                <w:rFonts w:cs="Arial"/>
                <w:color w:val="000000" w:themeColor="text1"/>
                <w:sz w:val="24"/>
                <w:szCs w:val="24"/>
              </w:rPr>
              <w:t>Appendix 1 –</w:t>
            </w:r>
            <w:r w:rsidR="004E38B7">
              <w:rPr>
                <w:rFonts w:cs="Arial"/>
                <w:color w:val="000000" w:themeColor="text1"/>
                <w:sz w:val="24"/>
                <w:szCs w:val="24"/>
              </w:rPr>
              <w:t>D</w:t>
            </w:r>
            <w:r w:rsidR="00485257" w:rsidRPr="004E38B7">
              <w:rPr>
                <w:rFonts w:cs="Arial"/>
                <w:color w:val="000000" w:themeColor="text1"/>
                <w:sz w:val="24"/>
                <w:szCs w:val="24"/>
              </w:rPr>
              <w:t xml:space="preserve">omestic </w:t>
            </w:r>
            <w:r w:rsidR="00456824" w:rsidRPr="004E38B7">
              <w:rPr>
                <w:rFonts w:cs="Arial"/>
                <w:color w:val="000000" w:themeColor="text1"/>
                <w:sz w:val="24"/>
                <w:szCs w:val="24"/>
              </w:rPr>
              <w:t xml:space="preserve">gas contract </w:t>
            </w:r>
            <w:r w:rsidR="00485257" w:rsidRPr="004E38B7">
              <w:rPr>
                <w:rFonts w:cs="Arial"/>
                <w:color w:val="000000" w:themeColor="text1"/>
                <w:sz w:val="24"/>
                <w:szCs w:val="24"/>
              </w:rPr>
              <w:t xml:space="preserve">award report </w:t>
            </w:r>
            <w:r w:rsidR="00EE0F99" w:rsidRPr="004E38B7">
              <w:rPr>
                <w:rFonts w:cs="Arial"/>
                <w:color w:val="000000" w:themeColor="text1"/>
                <w:sz w:val="24"/>
                <w:szCs w:val="24"/>
              </w:rPr>
              <w:t>summary</w:t>
            </w:r>
            <w:r w:rsidR="00954858">
              <w:rPr>
                <w:rFonts w:cs="Arial"/>
                <w:color w:val="000000" w:themeColor="text1"/>
                <w:sz w:val="24"/>
                <w:szCs w:val="24"/>
              </w:rPr>
              <w:t xml:space="preserve"> (EXEMPT)</w:t>
            </w:r>
          </w:p>
          <w:p w14:paraId="795B8DE8" w14:textId="77777777" w:rsidR="001C7E35" w:rsidRDefault="00883C52" w:rsidP="00883C52">
            <w:pPr>
              <w:pStyle w:val="Infotext"/>
              <w:rPr>
                <w:rFonts w:cs="Arial"/>
                <w:color w:val="000000" w:themeColor="text1"/>
                <w:sz w:val="24"/>
                <w:szCs w:val="24"/>
              </w:rPr>
            </w:pPr>
            <w:r w:rsidRPr="004E38B7">
              <w:rPr>
                <w:rFonts w:cs="Arial"/>
                <w:color w:val="000000" w:themeColor="text1"/>
                <w:sz w:val="24"/>
                <w:szCs w:val="24"/>
              </w:rPr>
              <w:t>Appendix 2 –</w:t>
            </w:r>
            <w:r w:rsidR="004E38B7">
              <w:rPr>
                <w:rFonts w:cs="Arial"/>
                <w:color w:val="000000" w:themeColor="text1"/>
                <w:sz w:val="24"/>
                <w:szCs w:val="24"/>
              </w:rPr>
              <w:t>C</w:t>
            </w:r>
            <w:r w:rsidR="00485257" w:rsidRPr="004E38B7">
              <w:rPr>
                <w:rFonts w:cs="Arial"/>
                <w:color w:val="000000" w:themeColor="text1"/>
                <w:sz w:val="24"/>
                <w:szCs w:val="24"/>
              </w:rPr>
              <w:t xml:space="preserve">ommercial </w:t>
            </w:r>
            <w:r w:rsidR="00456824" w:rsidRPr="004E38B7">
              <w:rPr>
                <w:rFonts w:cs="Arial"/>
                <w:color w:val="000000" w:themeColor="text1"/>
                <w:sz w:val="24"/>
                <w:szCs w:val="24"/>
              </w:rPr>
              <w:t xml:space="preserve">gas contract </w:t>
            </w:r>
            <w:r w:rsidR="00485257" w:rsidRPr="004E38B7">
              <w:rPr>
                <w:rFonts w:cs="Arial"/>
                <w:color w:val="000000" w:themeColor="text1"/>
                <w:sz w:val="24"/>
                <w:szCs w:val="24"/>
              </w:rPr>
              <w:t>award report</w:t>
            </w:r>
            <w:r w:rsidR="00EE0F99" w:rsidRPr="004E38B7">
              <w:rPr>
                <w:rFonts w:cs="Arial"/>
                <w:color w:val="000000" w:themeColor="text1"/>
                <w:sz w:val="24"/>
                <w:szCs w:val="24"/>
              </w:rPr>
              <w:t xml:space="preserve"> summary</w:t>
            </w:r>
            <w:r w:rsidR="00954858">
              <w:rPr>
                <w:rFonts w:cs="Arial"/>
                <w:color w:val="000000" w:themeColor="text1"/>
                <w:sz w:val="24"/>
                <w:szCs w:val="24"/>
              </w:rPr>
              <w:t xml:space="preserve"> (EXEMPT)</w:t>
            </w:r>
          </w:p>
          <w:p w14:paraId="0EA35BB8" w14:textId="77777777" w:rsidR="00DE2AA0" w:rsidRDefault="00DE2AA0" w:rsidP="00883C52">
            <w:pPr>
              <w:pStyle w:val="Infotext"/>
              <w:rPr>
                <w:rFonts w:cs="Arial"/>
                <w:color w:val="000000" w:themeColor="text1"/>
                <w:sz w:val="24"/>
                <w:szCs w:val="24"/>
              </w:rPr>
            </w:pPr>
          </w:p>
          <w:p w14:paraId="546DAC4A" w14:textId="77777777" w:rsidR="00DE2AA0" w:rsidRDefault="00DE2AA0" w:rsidP="00883C52">
            <w:pPr>
              <w:pStyle w:val="Infotext"/>
              <w:rPr>
                <w:color w:val="FF0000"/>
                <w:sz w:val="24"/>
                <w:szCs w:val="24"/>
              </w:rPr>
            </w:pPr>
          </w:p>
          <w:p w14:paraId="1941C7F9" w14:textId="77777777" w:rsidR="00DE2AA0" w:rsidRDefault="00DE2AA0" w:rsidP="00883C52">
            <w:pPr>
              <w:pStyle w:val="Infotext"/>
              <w:rPr>
                <w:color w:val="FF0000"/>
                <w:sz w:val="24"/>
                <w:szCs w:val="24"/>
              </w:rPr>
            </w:pPr>
          </w:p>
          <w:p w14:paraId="482CC3AD" w14:textId="77777777" w:rsidR="00DE2AA0" w:rsidRDefault="00DE2AA0" w:rsidP="00883C52">
            <w:pPr>
              <w:pStyle w:val="Infotext"/>
              <w:rPr>
                <w:color w:val="FF0000"/>
                <w:sz w:val="24"/>
                <w:szCs w:val="24"/>
              </w:rPr>
            </w:pPr>
          </w:p>
          <w:p w14:paraId="6BF9EEE9" w14:textId="77777777" w:rsidR="00DE2AA0" w:rsidRDefault="00DE2AA0" w:rsidP="00883C52">
            <w:pPr>
              <w:pStyle w:val="Infotext"/>
              <w:rPr>
                <w:color w:val="FF0000"/>
                <w:sz w:val="24"/>
                <w:szCs w:val="24"/>
              </w:rPr>
            </w:pPr>
          </w:p>
          <w:p w14:paraId="756E8025" w14:textId="77777777" w:rsidR="00DE2AA0" w:rsidRDefault="00DE2AA0" w:rsidP="00883C52">
            <w:pPr>
              <w:pStyle w:val="Infotext"/>
              <w:rPr>
                <w:color w:val="FF0000"/>
                <w:sz w:val="24"/>
                <w:szCs w:val="24"/>
              </w:rPr>
            </w:pPr>
          </w:p>
          <w:p w14:paraId="7A78C2AB" w14:textId="77777777" w:rsidR="00DE2AA0" w:rsidRDefault="00DE2AA0" w:rsidP="00883C52">
            <w:pPr>
              <w:pStyle w:val="Infotext"/>
              <w:rPr>
                <w:color w:val="FF0000"/>
                <w:sz w:val="24"/>
                <w:szCs w:val="24"/>
              </w:rPr>
            </w:pPr>
          </w:p>
          <w:p w14:paraId="6668D730" w14:textId="2B37104A" w:rsidR="00DE2AA0" w:rsidRPr="005E3A10" w:rsidRDefault="00DE2AA0" w:rsidP="00883C52">
            <w:pPr>
              <w:pStyle w:val="Infotext"/>
              <w:rPr>
                <w:color w:val="FF0000"/>
                <w:sz w:val="24"/>
                <w:szCs w:val="24"/>
              </w:rPr>
            </w:pPr>
          </w:p>
        </w:tc>
      </w:tr>
    </w:tbl>
    <w:tbl>
      <w:tblPr>
        <w:tblW w:w="85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Cabinet report summary details"/>
      </w:tblPr>
      <w:tblGrid>
        <w:gridCol w:w="8500"/>
      </w:tblGrid>
      <w:tr w:rsidR="00333FAA" w:rsidRPr="009E1D68" w14:paraId="39320826" w14:textId="77777777" w:rsidTr="00DE2AA0">
        <w:tc>
          <w:tcPr>
            <w:tcW w:w="8500" w:type="dxa"/>
          </w:tcPr>
          <w:p w14:paraId="3A67BFB3" w14:textId="0FC36D29" w:rsidR="00333FAA" w:rsidRPr="009E1D68" w:rsidRDefault="00333FAA" w:rsidP="00605A4C">
            <w:pPr>
              <w:pStyle w:val="Heading2"/>
              <w:spacing w:after="240"/>
              <w:rPr>
                <w:sz w:val="28"/>
                <w:szCs w:val="28"/>
              </w:rPr>
            </w:pPr>
            <w:r w:rsidRPr="00DE2AA0">
              <w:lastRenderedPageBreak/>
              <w:t>Section 1 – Summary and Recommendations</w:t>
            </w:r>
          </w:p>
        </w:tc>
      </w:tr>
      <w:tr w:rsidR="00333FAA" w:rsidRPr="00D13833" w14:paraId="5D78E563" w14:textId="77777777" w:rsidTr="00DE2AA0">
        <w:trPr>
          <w:trHeight w:val="2701"/>
        </w:trPr>
        <w:tc>
          <w:tcPr>
            <w:tcW w:w="8500" w:type="dxa"/>
            <w:shd w:val="clear" w:color="auto" w:fill="auto"/>
          </w:tcPr>
          <w:p w14:paraId="09D60CBA" w14:textId="27D0E829" w:rsidR="00333FAA" w:rsidRPr="00DE2AA0" w:rsidRDefault="00F95CE7" w:rsidP="00095AF4">
            <w:pPr>
              <w:jc w:val="both"/>
              <w:rPr>
                <w:szCs w:val="24"/>
              </w:rPr>
            </w:pPr>
            <w:r w:rsidRPr="00DE2AA0">
              <w:rPr>
                <w:szCs w:val="24"/>
              </w:rPr>
              <w:t>This report sets out the results of the tender process for the provision of</w:t>
            </w:r>
            <w:r w:rsidR="00DE7195" w:rsidRPr="00DE2AA0">
              <w:rPr>
                <w:szCs w:val="24"/>
              </w:rPr>
              <w:t xml:space="preserve"> domestic and commercial </w:t>
            </w:r>
            <w:r w:rsidRPr="00DE2AA0">
              <w:rPr>
                <w:szCs w:val="24"/>
              </w:rPr>
              <w:t>gas servicing</w:t>
            </w:r>
            <w:r w:rsidR="00DE7195" w:rsidRPr="00DE2AA0">
              <w:rPr>
                <w:szCs w:val="24"/>
              </w:rPr>
              <w:t xml:space="preserve"> and</w:t>
            </w:r>
            <w:r w:rsidR="007521FD" w:rsidRPr="00DE2AA0">
              <w:rPr>
                <w:szCs w:val="24"/>
              </w:rPr>
              <w:t xml:space="preserve"> </w:t>
            </w:r>
            <w:r w:rsidR="00B1496C" w:rsidRPr="00DE2AA0">
              <w:rPr>
                <w:szCs w:val="24"/>
              </w:rPr>
              <w:t>upgrades to Council housing.</w:t>
            </w:r>
          </w:p>
          <w:p w14:paraId="311C6175" w14:textId="77777777" w:rsidR="00F95CE7" w:rsidRPr="00DE2AA0" w:rsidRDefault="00F95CE7" w:rsidP="00095AF4">
            <w:pPr>
              <w:jc w:val="both"/>
              <w:rPr>
                <w:szCs w:val="24"/>
              </w:rPr>
            </w:pPr>
          </w:p>
          <w:p w14:paraId="6049104E" w14:textId="77777777" w:rsidR="00DE2AA0" w:rsidRPr="00DE2AA0" w:rsidRDefault="008F20A3" w:rsidP="00435A25">
            <w:pPr>
              <w:jc w:val="both"/>
              <w:rPr>
                <w:szCs w:val="24"/>
              </w:rPr>
            </w:pPr>
            <w:r w:rsidRPr="00DE2AA0">
              <w:rPr>
                <w:b/>
                <w:bCs/>
                <w:sz w:val="28"/>
                <w:szCs w:val="28"/>
              </w:rPr>
              <w:t>Recommendations</w:t>
            </w:r>
            <w:r w:rsidRPr="00DE2AA0">
              <w:rPr>
                <w:sz w:val="28"/>
                <w:szCs w:val="28"/>
              </w:rPr>
              <w:t>:</w:t>
            </w:r>
            <w:r w:rsidRPr="00DE2AA0">
              <w:rPr>
                <w:szCs w:val="24"/>
              </w:rPr>
              <w:t xml:space="preserve"> </w:t>
            </w:r>
          </w:p>
          <w:p w14:paraId="593E183F" w14:textId="6A5BD6B7" w:rsidR="008F20A3" w:rsidRPr="00DE2AA0" w:rsidRDefault="008F20A3" w:rsidP="00435A25">
            <w:pPr>
              <w:jc w:val="both"/>
              <w:rPr>
                <w:szCs w:val="24"/>
              </w:rPr>
            </w:pPr>
            <w:r w:rsidRPr="00DE2AA0">
              <w:rPr>
                <w:szCs w:val="24"/>
              </w:rPr>
              <w:t xml:space="preserve">Cabinet is requested to: </w:t>
            </w:r>
          </w:p>
          <w:p w14:paraId="57073097" w14:textId="77777777" w:rsidR="005D3D9E" w:rsidRPr="00DE2AA0" w:rsidRDefault="005D3D9E" w:rsidP="00435A25">
            <w:pPr>
              <w:jc w:val="both"/>
              <w:rPr>
                <w:szCs w:val="24"/>
              </w:rPr>
            </w:pPr>
          </w:p>
          <w:p w14:paraId="010C8A10" w14:textId="73D8766C" w:rsidR="0050075C" w:rsidRPr="00DE2AA0" w:rsidRDefault="008F20A3" w:rsidP="00D239B1">
            <w:pPr>
              <w:pStyle w:val="ListParagraph"/>
              <w:numPr>
                <w:ilvl w:val="0"/>
                <w:numId w:val="23"/>
              </w:numPr>
              <w:jc w:val="both"/>
              <w:rPr>
                <w:szCs w:val="24"/>
              </w:rPr>
            </w:pPr>
            <w:r w:rsidRPr="00DE2AA0">
              <w:rPr>
                <w:szCs w:val="24"/>
              </w:rPr>
              <w:t xml:space="preserve">Approve the award of the </w:t>
            </w:r>
            <w:r w:rsidR="00D712DB" w:rsidRPr="00DE2AA0">
              <w:rPr>
                <w:szCs w:val="24"/>
              </w:rPr>
              <w:t>d</w:t>
            </w:r>
            <w:r w:rsidRPr="00DE2AA0">
              <w:rPr>
                <w:szCs w:val="24"/>
              </w:rPr>
              <w:t>omestic gas heating contract to</w:t>
            </w:r>
            <w:r w:rsidR="00184AEC" w:rsidRPr="00DE2AA0">
              <w:rPr>
                <w:szCs w:val="24"/>
              </w:rPr>
              <w:t xml:space="preserve"> Liberty Group</w:t>
            </w:r>
            <w:r w:rsidR="00D63C4F" w:rsidRPr="00DE2AA0">
              <w:rPr>
                <w:szCs w:val="24"/>
              </w:rPr>
              <w:t xml:space="preserve"> for a period of 4 years commencing </w:t>
            </w:r>
            <w:r w:rsidR="00B77F02" w:rsidRPr="00DE2AA0">
              <w:rPr>
                <w:szCs w:val="24"/>
              </w:rPr>
              <w:t>28</w:t>
            </w:r>
            <w:r w:rsidR="00D63C4F" w:rsidRPr="00DE2AA0">
              <w:rPr>
                <w:szCs w:val="24"/>
              </w:rPr>
              <w:t>/0</w:t>
            </w:r>
            <w:r w:rsidR="00C21DB6" w:rsidRPr="00DE2AA0">
              <w:rPr>
                <w:szCs w:val="24"/>
              </w:rPr>
              <w:t>2</w:t>
            </w:r>
            <w:r w:rsidR="00D63C4F" w:rsidRPr="00DE2AA0">
              <w:rPr>
                <w:szCs w:val="24"/>
              </w:rPr>
              <w:t xml:space="preserve">/2022 to the </w:t>
            </w:r>
            <w:r w:rsidR="00770B8E" w:rsidRPr="00DE2AA0">
              <w:rPr>
                <w:szCs w:val="24"/>
              </w:rPr>
              <w:t>1</w:t>
            </w:r>
            <w:r w:rsidR="00D63C4F" w:rsidRPr="00DE2AA0">
              <w:rPr>
                <w:szCs w:val="24"/>
              </w:rPr>
              <w:t>/0</w:t>
            </w:r>
            <w:r w:rsidR="00770B8E" w:rsidRPr="00DE2AA0">
              <w:rPr>
                <w:szCs w:val="24"/>
              </w:rPr>
              <w:t>3</w:t>
            </w:r>
            <w:r w:rsidR="00D63C4F" w:rsidRPr="00DE2AA0">
              <w:rPr>
                <w:szCs w:val="24"/>
              </w:rPr>
              <w:t>/2026, with an option to extend for a further two year</w:t>
            </w:r>
            <w:r w:rsidR="00413890" w:rsidRPr="00DE2AA0">
              <w:rPr>
                <w:szCs w:val="24"/>
              </w:rPr>
              <w:t>s</w:t>
            </w:r>
            <w:r w:rsidR="00954858" w:rsidRPr="00DE2AA0">
              <w:rPr>
                <w:szCs w:val="24"/>
              </w:rPr>
              <w:t xml:space="preserve"> and </w:t>
            </w:r>
            <w:r w:rsidR="00D373E8" w:rsidRPr="00DE2AA0">
              <w:rPr>
                <w:szCs w:val="24"/>
              </w:rPr>
              <w:t xml:space="preserve">request delegation of final contractual matters to the Corporate Director Community </w:t>
            </w:r>
            <w:r w:rsidR="00954858" w:rsidRPr="00DE2AA0">
              <w:rPr>
                <w:szCs w:val="24"/>
              </w:rPr>
              <w:t xml:space="preserve">following </w:t>
            </w:r>
            <w:r w:rsidR="00D373E8" w:rsidRPr="00DE2AA0">
              <w:rPr>
                <w:szCs w:val="24"/>
              </w:rPr>
              <w:t>consultation with Portfolio Holder</w:t>
            </w:r>
            <w:r w:rsidR="004C2089" w:rsidRPr="00DE2AA0">
              <w:rPr>
                <w:szCs w:val="24"/>
              </w:rPr>
              <w:t>s</w:t>
            </w:r>
            <w:r w:rsidR="00D373E8" w:rsidRPr="00DE2AA0">
              <w:rPr>
                <w:szCs w:val="24"/>
              </w:rPr>
              <w:t xml:space="preserve"> for Housing</w:t>
            </w:r>
            <w:r w:rsidR="004C2089" w:rsidRPr="00DE2AA0">
              <w:rPr>
                <w:szCs w:val="24"/>
              </w:rPr>
              <w:t xml:space="preserve"> and Finance and Resources.</w:t>
            </w:r>
          </w:p>
          <w:p w14:paraId="35F36F5A" w14:textId="77777777" w:rsidR="0050075C" w:rsidRPr="00DE2AA0" w:rsidRDefault="0050075C" w:rsidP="0050075C">
            <w:pPr>
              <w:pStyle w:val="ListParagraph"/>
              <w:jc w:val="both"/>
              <w:rPr>
                <w:szCs w:val="24"/>
              </w:rPr>
            </w:pPr>
          </w:p>
          <w:p w14:paraId="08419581" w14:textId="7993CD28" w:rsidR="006C3CF1" w:rsidRPr="00DE2AA0" w:rsidRDefault="006C3CF1" w:rsidP="006C3CF1">
            <w:pPr>
              <w:pStyle w:val="ListParagraph"/>
              <w:numPr>
                <w:ilvl w:val="0"/>
                <w:numId w:val="23"/>
              </w:numPr>
              <w:jc w:val="both"/>
              <w:rPr>
                <w:szCs w:val="24"/>
              </w:rPr>
            </w:pPr>
            <w:r w:rsidRPr="00DE2AA0">
              <w:rPr>
                <w:szCs w:val="24"/>
              </w:rPr>
              <w:t>Approve the award of the commercial gas heating</w:t>
            </w:r>
            <w:r w:rsidR="0017641D" w:rsidRPr="00DE2AA0">
              <w:rPr>
                <w:szCs w:val="24"/>
              </w:rPr>
              <w:t xml:space="preserve"> systems</w:t>
            </w:r>
            <w:r w:rsidRPr="00DE2AA0">
              <w:rPr>
                <w:szCs w:val="24"/>
              </w:rPr>
              <w:t xml:space="preserve"> contract to </w:t>
            </w:r>
            <w:r w:rsidR="0017641D" w:rsidRPr="00DE2AA0">
              <w:rPr>
                <w:szCs w:val="24"/>
              </w:rPr>
              <w:t>Thermoserve</w:t>
            </w:r>
            <w:r w:rsidRPr="00DE2AA0">
              <w:rPr>
                <w:szCs w:val="24"/>
              </w:rPr>
              <w:t xml:space="preserve"> for a period of 4 years commencing </w:t>
            </w:r>
            <w:r w:rsidR="00485B3F" w:rsidRPr="00DE2AA0">
              <w:rPr>
                <w:szCs w:val="24"/>
              </w:rPr>
              <w:t>14</w:t>
            </w:r>
            <w:r w:rsidRPr="00DE2AA0">
              <w:rPr>
                <w:szCs w:val="24"/>
              </w:rPr>
              <w:t>/</w:t>
            </w:r>
            <w:r w:rsidR="00485B3F" w:rsidRPr="00DE2AA0">
              <w:rPr>
                <w:szCs w:val="24"/>
              </w:rPr>
              <w:t>02</w:t>
            </w:r>
            <w:r w:rsidRPr="00DE2AA0">
              <w:rPr>
                <w:szCs w:val="24"/>
              </w:rPr>
              <w:t>/202</w:t>
            </w:r>
            <w:r w:rsidR="00673424" w:rsidRPr="00DE2AA0">
              <w:rPr>
                <w:szCs w:val="24"/>
              </w:rPr>
              <w:t>2</w:t>
            </w:r>
            <w:r w:rsidRPr="00DE2AA0">
              <w:rPr>
                <w:szCs w:val="24"/>
              </w:rPr>
              <w:t xml:space="preserve"> to the </w:t>
            </w:r>
            <w:r w:rsidR="00673424" w:rsidRPr="00DE2AA0">
              <w:rPr>
                <w:szCs w:val="24"/>
              </w:rPr>
              <w:t>15</w:t>
            </w:r>
            <w:r w:rsidRPr="00DE2AA0">
              <w:rPr>
                <w:szCs w:val="24"/>
              </w:rPr>
              <w:t>/</w:t>
            </w:r>
            <w:r w:rsidR="00673424" w:rsidRPr="00DE2AA0">
              <w:rPr>
                <w:szCs w:val="24"/>
              </w:rPr>
              <w:t>02</w:t>
            </w:r>
            <w:r w:rsidRPr="00DE2AA0">
              <w:rPr>
                <w:szCs w:val="24"/>
              </w:rPr>
              <w:t>/202</w:t>
            </w:r>
            <w:r w:rsidR="00BF650A" w:rsidRPr="00DE2AA0">
              <w:rPr>
                <w:szCs w:val="24"/>
              </w:rPr>
              <w:t>6</w:t>
            </w:r>
            <w:r w:rsidRPr="00DE2AA0">
              <w:rPr>
                <w:szCs w:val="24"/>
              </w:rPr>
              <w:t>, with an option to extend for a further two year</w:t>
            </w:r>
            <w:r w:rsidR="00826484" w:rsidRPr="00DE2AA0">
              <w:rPr>
                <w:szCs w:val="24"/>
              </w:rPr>
              <w:t>s</w:t>
            </w:r>
            <w:r w:rsidR="00954858" w:rsidRPr="00DE2AA0">
              <w:rPr>
                <w:szCs w:val="24"/>
              </w:rPr>
              <w:t xml:space="preserve"> and </w:t>
            </w:r>
            <w:r w:rsidRPr="00DE2AA0">
              <w:rPr>
                <w:szCs w:val="24"/>
              </w:rPr>
              <w:t xml:space="preserve"> request delegation of final contractual matters to the Corporate Director Community </w:t>
            </w:r>
            <w:r w:rsidR="00954858" w:rsidRPr="00DE2AA0">
              <w:rPr>
                <w:szCs w:val="24"/>
              </w:rPr>
              <w:t xml:space="preserve">following </w:t>
            </w:r>
            <w:r w:rsidRPr="00DE2AA0">
              <w:rPr>
                <w:szCs w:val="24"/>
              </w:rPr>
              <w:t>consultation with Portfolio Holders for Housing and Finance and Resources.</w:t>
            </w:r>
          </w:p>
          <w:p w14:paraId="26E64D4B" w14:textId="77777777" w:rsidR="00A900C9" w:rsidRPr="00DE2AA0" w:rsidRDefault="00A900C9" w:rsidP="00A900C9">
            <w:pPr>
              <w:pStyle w:val="ListParagraph"/>
              <w:rPr>
                <w:szCs w:val="24"/>
              </w:rPr>
            </w:pPr>
          </w:p>
          <w:p w14:paraId="5A270B38" w14:textId="65C12577" w:rsidR="00A900C9" w:rsidRPr="00DE2AA0" w:rsidRDefault="00FA48A4" w:rsidP="006C3CF1">
            <w:pPr>
              <w:pStyle w:val="ListParagraph"/>
              <w:numPr>
                <w:ilvl w:val="0"/>
                <w:numId w:val="23"/>
              </w:numPr>
              <w:jc w:val="both"/>
              <w:rPr>
                <w:szCs w:val="24"/>
              </w:rPr>
            </w:pPr>
            <w:r w:rsidRPr="00DE2AA0">
              <w:rPr>
                <w:szCs w:val="24"/>
              </w:rPr>
              <w:t xml:space="preserve">Note that approval for the budget and </w:t>
            </w:r>
            <w:r w:rsidR="001E5B70" w:rsidRPr="00DE2AA0">
              <w:rPr>
                <w:szCs w:val="24"/>
              </w:rPr>
              <w:t>authority to commence procurement</w:t>
            </w:r>
            <w:r w:rsidR="000C3559" w:rsidRPr="00DE2AA0">
              <w:rPr>
                <w:szCs w:val="24"/>
              </w:rPr>
              <w:t xml:space="preserve"> </w:t>
            </w:r>
            <w:r w:rsidR="001E5B70" w:rsidRPr="00DE2AA0">
              <w:rPr>
                <w:szCs w:val="24"/>
              </w:rPr>
              <w:t xml:space="preserve">inadvertently </w:t>
            </w:r>
            <w:r w:rsidR="000C3559" w:rsidRPr="00DE2AA0">
              <w:rPr>
                <w:szCs w:val="24"/>
              </w:rPr>
              <w:t xml:space="preserve">was </w:t>
            </w:r>
            <w:r w:rsidR="001E5B70" w:rsidRPr="00DE2AA0">
              <w:rPr>
                <w:szCs w:val="24"/>
              </w:rPr>
              <w:t xml:space="preserve">not sought </w:t>
            </w:r>
            <w:r w:rsidR="00147263" w:rsidRPr="00DE2AA0">
              <w:rPr>
                <w:szCs w:val="24"/>
              </w:rPr>
              <w:t xml:space="preserve">for the </w:t>
            </w:r>
            <w:r w:rsidR="00A023E9" w:rsidRPr="00DE2AA0">
              <w:rPr>
                <w:szCs w:val="24"/>
              </w:rPr>
              <w:t xml:space="preserve">commercial </w:t>
            </w:r>
            <w:r w:rsidR="00923BE6" w:rsidRPr="00DE2AA0">
              <w:rPr>
                <w:szCs w:val="24"/>
              </w:rPr>
              <w:t xml:space="preserve">gas heating systems contract. This recommendation seeks retrospective approval </w:t>
            </w:r>
            <w:r w:rsidR="00774E4D" w:rsidRPr="00DE2AA0">
              <w:rPr>
                <w:szCs w:val="24"/>
              </w:rPr>
              <w:t xml:space="preserve">for both the budget and procurement exercise </w:t>
            </w:r>
            <w:r w:rsidR="006779A8" w:rsidRPr="00DE2AA0">
              <w:rPr>
                <w:szCs w:val="24"/>
              </w:rPr>
              <w:t>for the commercial gas heating system</w:t>
            </w:r>
            <w:r w:rsidR="00A61EC2" w:rsidRPr="00DE2AA0">
              <w:rPr>
                <w:szCs w:val="24"/>
              </w:rPr>
              <w:t xml:space="preserve"> the award of which is being requested for approval in recommendation </w:t>
            </w:r>
            <w:r w:rsidR="00F531A8" w:rsidRPr="00DE2AA0">
              <w:rPr>
                <w:szCs w:val="24"/>
              </w:rPr>
              <w:t>2</w:t>
            </w:r>
            <w:r w:rsidR="00A61EC2" w:rsidRPr="00DE2AA0">
              <w:rPr>
                <w:szCs w:val="24"/>
              </w:rPr>
              <w:t>.</w:t>
            </w:r>
          </w:p>
          <w:p w14:paraId="02D593E5" w14:textId="77777777" w:rsidR="00BD6D88" w:rsidRPr="00DE2AA0" w:rsidRDefault="00BD6D88" w:rsidP="00BD6D88">
            <w:pPr>
              <w:pStyle w:val="ListParagraph"/>
              <w:rPr>
                <w:szCs w:val="24"/>
              </w:rPr>
            </w:pPr>
          </w:p>
          <w:p w14:paraId="68E53B9A" w14:textId="49DD31F5" w:rsidR="00D73EB6" w:rsidRPr="00DE2AA0" w:rsidRDefault="00D73EB6" w:rsidP="00D73EB6">
            <w:pPr>
              <w:pStyle w:val="ListParagraph"/>
              <w:ind w:left="741" w:hanging="425"/>
              <w:jc w:val="both"/>
              <w:rPr>
                <w:szCs w:val="24"/>
              </w:rPr>
            </w:pPr>
            <w:r w:rsidRPr="00DE2AA0">
              <w:rPr>
                <w:szCs w:val="24"/>
              </w:rPr>
              <w:t xml:space="preserve">4    Agree that for 2021/22 the part year impact of the </w:t>
            </w:r>
            <w:r w:rsidR="00954858" w:rsidRPr="00DE2AA0">
              <w:rPr>
                <w:szCs w:val="24"/>
              </w:rPr>
              <w:t>contracts,</w:t>
            </w:r>
            <w:r w:rsidRPr="00DE2AA0">
              <w:rPr>
                <w:szCs w:val="24"/>
              </w:rPr>
              <w:t>£10,367 and one</w:t>
            </w:r>
            <w:r w:rsidR="00A11FFA" w:rsidRPr="00DE2AA0">
              <w:rPr>
                <w:szCs w:val="24"/>
              </w:rPr>
              <w:t>-</w:t>
            </w:r>
            <w:r w:rsidRPr="00DE2AA0">
              <w:rPr>
                <w:szCs w:val="24"/>
              </w:rPr>
              <w:t xml:space="preserve">off costs of </w:t>
            </w:r>
            <w:r w:rsidR="002C3B89" w:rsidRPr="00DE2AA0">
              <w:rPr>
                <w:szCs w:val="24"/>
              </w:rPr>
              <w:t xml:space="preserve">internal </w:t>
            </w:r>
            <w:r w:rsidRPr="00DE2AA0">
              <w:rPr>
                <w:szCs w:val="24"/>
              </w:rPr>
              <w:t xml:space="preserve">project </w:t>
            </w:r>
            <w:r w:rsidR="005E1D63" w:rsidRPr="00DE2AA0">
              <w:rPr>
                <w:szCs w:val="24"/>
              </w:rPr>
              <w:t>support up</w:t>
            </w:r>
            <w:r w:rsidRPr="00DE2AA0">
              <w:rPr>
                <w:szCs w:val="24"/>
              </w:rPr>
              <w:t xml:space="preserve"> to a maximum of £35,000 are funded from the </w:t>
            </w:r>
            <w:r w:rsidR="00954858" w:rsidRPr="00DE2AA0">
              <w:rPr>
                <w:szCs w:val="24"/>
              </w:rPr>
              <w:t>Housing Revenue Account (</w:t>
            </w:r>
            <w:r w:rsidRPr="00DE2AA0">
              <w:rPr>
                <w:szCs w:val="24"/>
              </w:rPr>
              <w:t>HRA</w:t>
            </w:r>
            <w:r w:rsidR="00954858" w:rsidRPr="00DE2AA0">
              <w:rPr>
                <w:szCs w:val="24"/>
              </w:rPr>
              <w:t>)</w:t>
            </w:r>
            <w:r w:rsidRPr="00DE2AA0">
              <w:rPr>
                <w:szCs w:val="24"/>
              </w:rPr>
              <w:t xml:space="preserve"> repairs reserve.</w:t>
            </w:r>
          </w:p>
          <w:p w14:paraId="40F3D535" w14:textId="77777777" w:rsidR="003C5140" w:rsidRPr="00DE2AA0" w:rsidRDefault="003C5140" w:rsidP="00D73EB6">
            <w:pPr>
              <w:pStyle w:val="ListParagraph"/>
              <w:ind w:left="741" w:hanging="425"/>
              <w:jc w:val="both"/>
              <w:rPr>
                <w:szCs w:val="24"/>
              </w:rPr>
            </w:pPr>
          </w:p>
          <w:p w14:paraId="408145CD" w14:textId="389F8A3D" w:rsidR="00D73EB6" w:rsidRPr="00DE2AA0" w:rsidRDefault="00D73EB6" w:rsidP="003C5140">
            <w:pPr>
              <w:pStyle w:val="ListParagraph"/>
              <w:ind w:left="741" w:hanging="425"/>
              <w:jc w:val="both"/>
              <w:rPr>
                <w:szCs w:val="24"/>
              </w:rPr>
            </w:pPr>
            <w:r w:rsidRPr="00DE2AA0">
              <w:rPr>
                <w:szCs w:val="24"/>
              </w:rPr>
              <w:t>5</w:t>
            </w:r>
            <w:r w:rsidR="003C5140" w:rsidRPr="00DE2AA0">
              <w:rPr>
                <w:szCs w:val="24"/>
              </w:rPr>
              <w:t xml:space="preserve">    Agree that from 2022/23 the full year </w:t>
            </w:r>
            <w:r w:rsidR="00BC542D" w:rsidRPr="00DE2AA0">
              <w:rPr>
                <w:szCs w:val="24"/>
              </w:rPr>
              <w:t>cost,</w:t>
            </w:r>
            <w:r w:rsidR="003C5140" w:rsidRPr="00DE2AA0">
              <w:rPr>
                <w:szCs w:val="24"/>
              </w:rPr>
              <w:t xml:space="preserve"> £0.878m</w:t>
            </w:r>
            <w:r w:rsidR="00954858" w:rsidRPr="00DE2AA0">
              <w:rPr>
                <w:szCs w:val="24"/>
              </w:rPr>
              <w:t>,</w:t>
            </w:r>
            <w:r w:rsidR="003C5140" w:rsidRPr="00DE2AA0">
              <w:rPr>
                <w:szCs w:val="24"/>
              </w:rPr>
              <w:t xml:space="preserve"> of these contracts are funded from following sources:</w:t>
            </w:r>
          </w:p>
          <w:p w14:paraId="01F9E512" w14:textId="4B22A7EB" w:rsidR="003C5140" w:rsidRPr="00DE2AA0" w:rsidRDefault="003C5140" w:rsidP="00026D6E">
            <w:pPr>
              <w:pStyle w:val="ListParagraph"/>
              <w:numPr>
                <w:ilvl w:val="0"/>
                <w:numId w:val="36"/>
              </w:numPr>
              <w:jc w:val="both"/>
              <w:rPr>
                <w:szCs w:val="24"/>
              </w:rPr>
            </w:pPr>
            <w:r w:rsidRPr="00DE2AA0">
              <w:rPr>
                <w:szCs w:val="24"/>
              </w:rPr>
              <w:t xml:space="preserve">existing revenue budgets within the Housing Revenue Account </w:t>
            </w:r>
            <w:r w:rsidR="00026D6E" w:rsidRPr="00DE2AA0">
              <w:rPr>
                <w:szCs w:val="24"/>
              </w:rPr>
              <w:t>-</w:t>
            </w:r>
            <w:r w:rsidRPr="00DE2AA0">
              <w:rPr>
                <w:szCs w:val="24"/>
              </w:rPr>
              <w:t>£0.600m,</w:t>
            </w:r>
          </w:p>
          <w:p w14:paraId="363D128C" w14:textId="38992C05" w:rsidR="00026D6E" w:rsidRPr="00DE2AA0" w:rsidRDefault="00026D6E" w:rsidP="00026D6E">
            <w:pPr>
              <w:pStyle w:val="ListParagraph"/>
              <w:numPr>
                <w:ilvl w:val="0"/>
                <w:numId w:val="36"/>
              </w:numPr>
              <w:jc w:val="both"/>
              <w:rPr>
                <w:szCs w:val="24"/>
              </w:rPr>
            </w:pPr>
            <w:r w:rsidRPr="00DE2AA0">
              <w:rPr>
                <w:szCs w:val="24"/>
              </w:rPr>
              <w:t>Community Centre and General fund budgets -£0.025m</w:t>
            </w:r>
          </w:p>
          <w:p w14:paraId="4E58CDB6" w14:textId="5627A334" w:rsidR="003C5140" w:rsidRPr="00DE2AA0" w:rsidRDefault="003C5140" w:rsidP="003C5140">
            <w:pPr>
              <w:pStyle w:val="ListParagraph"/>
              <w:numPr>
                <w:ilvl w:val="0"/>
                <w:numId w:val="36"/>
              </w:numPr>
              <w:jc w:val="both"/>
              <w:rPr>
                <w:szCs w:val="24"/>
              </w:rPr>
            </w:pPr>
            <w:r w:rsidRPr="00DE2AA0">
              <w:rPr>
                <w:szCs w:val="24"/>
              </w:rPr>
              <w:t>the boiler installation, capitalised repairs and unallocated budget within the housing capital programme (min £0.178m to max £0.300m budget permitting),</w:t>
            </w:r>
          </w:p>
          <w:p w14:paraId="2D3FD061" w14:textId="50DC57A9" w:rsidR="00C52CA3" w:rsidRPr="00DE2AA0" w:rsidRDefault="003C5140" w:rsidP="004873F4">
            <w:pPr>
              <w:pStyle w:val="ListParagraph"/>
              <w:numPr>
                <w:ilvl w:val="0"/>
                <w:numId w:val="36"/>
              </w:numPr>
              <w:jc w:val="both"/>
              <w:rPr>
                <w:szCs w:val="24"/>
              </w:rPr>
            </w:pPr>
            <w:r w:rsidRPr="00DE2AA0">
              <w:rPr>
                <w:szCs w:val="24"/>
              </w:rPr>
              <w:t xml:space="preserve"> revenue savings of £0.</w:t>
            </w:r>
            <w:r w:rsidR="00026D6E" w:rsidRPr="00DE2AA0">
              <w:rPr>
                <w:szCs w:val="24"/>
              </w:rPr>
              <w:t>075</w:t>
            </w:r>
            <w:r w:rsidRPr="00DE2AA0">
              <w:rPr>
                <w:szCs w:val="24"/>
              </w:rPr>
              <w:t xml:space="preserve">m from a savings </w:t>
            </w:r>
            <w:r w:rsidR="000C7266" w:rsidRPr="00DE2AA0">
              <w:rPr>
                <w:szCs w:val="24"/>
              </w:rPr>
              <w:t>to the contract by converting to new technologies over the term of the contract.</w:t>
            </w:r>
          </w:p>
          <w:p w14:paraId="492F7572" w14:textId="77777777" w:rsidR="00DE2AA0" w:rsidRPr="00DE2AA0" w:rsidRDefault="00DE2AA0" w:rsidP="00095AF4">
            <w:pPr>
              <w:jc w:val="both"/>
              <w:rPr>
                <w:b/>
                <w:bCs/>
                <w:szCs w:val="24"/>
              </w:rPr>
            </w:pPr>
          </w:p>
          <w:p w14:paraId="454E2833" w14:textId="128D1370" w:rsidR="00B6116B" w:rsidRPr="00DE2AA0" w:rsidRDefault="00435A25" w:rsidP="00095AF4">
            <w:pPr>
              <w:jc w:val="both"/>
              <w:rPr>
                <w:sz w:val="28"/>
                <w:szCs w:val="28"/>
              </w:rPr>
            </w:pPr>
            <w:r w:rsidRPr="00DE2AA0">
              <w:rPr>
                <w:b/>
                <w:bCs/>
                <w:sz w:val="28"/>
                <w:szCs w:val="28"/>
              </w:rPr>
              <w:t>Reason</w:t>
            </w:r>
            <w:r w:rsidR="00DE2AA0" w:rsidRPr="00DE2AA0">
              <w:rPr>
                <w:b/>
                <w:bCs/>
                <w:sz w:val="28"/>
                <w:szCs w:val="28"/>
              </w:rPr>
              <w:t>s (for the recommendations)</w:t>
            </w:r>
            <w:r w:rsidRPr="00DE2AA0">
              <w:rPr>
                <w:b/>
                <w:bCs/>
                <w:sz w:val="28"/>
                <w:szCs w:val="28"/>
              </w:rPr>
              <w:t>:</w:t>
            </w:r>
            <w:r w:rsidRPr="00DE2AA0">
              <w:rPr>
                <w:sz w:val="28"/>
                <w:szCs w:val="28"/>
              </w:rPr>
              <w:t xml:space="preserve"> </w:t>
            </w:r>
          </w:p>
          <w:p w14:paraId="23C1800A" w14:textId="1C864D10" w:rsidR="00F95CE7" w:rsidRPr="00DE2AA0" w:rsidRDefault="00095AF4" w:rsidP="00095AF4">
            <w:pPr>
              <w:jc w:val="both"/>
              <w:rPr>
                <w:szCs w:val="24"/>
              </w:rPr>
            </w:pPr>
            <w:r w:rsidRPr="00DE2AA0">
              <w:rPr>
                <w:szCs w:val="24"/>
              </w:rPr>
              <w:t xml:space="preserve">The </w:t>
            </w:r>
            <w:r w:rsidR="005B4062" w:rsidRPr="00DE2AA0">
              <w:rPr>
                <w:szCs w:val="24"/>
              </w:rPr>
              <w:t>approval is being sought so that the contract award can commence in compliance with internal governance and to ensure that we are able to continue to provide essential services to meet our statutory duties as a social housing landlord across Council homes within the Borough, whilst complying with Health and Safety Gas Regulations</w:t>
            </w:r>
            <w:r w:rsidR="00434360" w:rsidRPr="00DE2AA0">
              <w:rPr>
                <w:szCs w:val="24"/>
              </w:rPr>
              <w:t>.</w:t>
            </w:r>
          </w:p>
          <w:p w14:paraId="7E6ECED5" w14:textId="77777777" w:rsidR="0013043A" w:rsidRPr="00DE2AA0" w:rsidRDefault="0013043A" w:rsidP="00095AF4">
            <w:pPr>
              <w:jc w:val="both"/>
              <w:rPr>
                <w:szCs w:val="24"/>
              </w:rPr>
            </w:pPr>
          </w:p>
          <w:p w14:paraId="256B32BD" w14:textId="5C37ED48" w:rsidR="0013043A" w:rsidRPr="00DE2AA0" w:rsidRDefault="00B16D8D" w:rsidP="009222CA">
            <w:pPr>
              <w:jc w:val="both"/>
              <w:rPr>
                <w:szCs w:val="24"/>
              </w:rPr>
            </w:pPr>
            <w:r w:rsidRPr="00DE2AA0">
              <w:rPr>
                <w:szCs w:val="24"/>
              </w:rPr>
              <w:lastRenderedPageBreak/>
              <w:t>For the d</w:t>
            </w:r>
            <w:r w:rsidR="0013043A" w:rsidRPr="00DE2AA0">
              <w:rPr>
                <w:szCs w:val="24"/>
              </w:rPr>
              <w:t>omestic as</w:t>
            </w:r>
            <w:r w:rsidRPr="00DE2AA0">
              <w:rPr>
                <w:szCs w:val="24"/>
              </w:rPr>
              <w:t xml:space="preserve"> contract </w:t>
            </w:r>
            <w:r w:rsidR="00DE2AA0" w:rsidRPr="00DE2AA0">
              <w:rPr>
                <w:szCs w:val="24"/>
              </w:rPr>
              <w:t>the annual</w:t>
            </w:r>
            <w:r w:rsidR="0013043A" w:rsidRPr="00DE2AA0">
              <w:rPr>
                <w:szCs w:val="24"/>
              </w:rPr>
              <w:t xml:space="preserve"> contract value of the above contract award is £729,622 per annum with the four-year contract value is £2,918,488 and </w:t>
            </w:r>
            <w:r w:rsidR="00D9758D" w:rsidRPr="00DE2AA0">
              <w:rPr>
                <w:szCs w:val="24"/>
              </w:rPr>
              <w:t>i</w:t>
            </w:r>
            <w:r w:rsidR="0013043A" w:rsidRPr="00DE2AA0">
              <w:rPr>
                <w:szCs w:val="24"/>
              </w:rPr>
              <w:t>f we were to exercise our two-year extension option, the total six-year contract value is £4,377,732.</w:t>
            </w:r>
          </w:p>
          <w:p w14:paraId="7EEC8FF8" w14:textId="77777777" w:rsidR="00085DB9" w:rsidRPr="00DE2AA0" w:rsidRDefault="00085DB9" w:rsidP="009222CA">
            <w:pPr>
              <w:jc w:val="both"/>
              <w:rPr>
                <w:szCs w:val="24"/>
              </w:rPr>
            </w:pPr>
          </w:p>
          <w:p w14:paraId="313BC81E" w14:textId="21ED6CE6" w:rsidR="00085DB9" w:rsidRPr="00DE2AA0" w:rsidRDefault="00B16D8D" w:rsidP="00DE2AA0">
            <w:pPr>
              <w:jc w:val="both"/>
              <w:rPr>
                <w:szCs w:val="24"/>
              </w:rPr>
            </w:pPr>
            <w:r w:rsidRPr="00DE2AA0">
              <w:rPr>
                <w:szCs w:val="24"/>
              </w:rPr>
              <w:t>For the C</w:t>
            </w:r>
            <w:r w:rsidR="00085DB9" w:rsidRPr="00DE2AA0">
              <w:rPr>
                <w:szCs w:val="24"/>
              </w:rPr>
              <w:t>ommercial Gas</w:t>
            </w:r>
            <w:r w:rsidRPr="00DE2AA0">
              <w:rPr>
                <w:szCs w:val="24"/>
              </w:rPr>
              <w:t xml:space="preserve"> contract t</w:t>
            </w:r>
            <w:r w:rsidR="00085DB9" w:rsidRPr="00DE2AA0">
              <w:rPr>
                <w:szCs w:val="24"/>
              </w:rPr>
              <w:t xml:space="preserve">he annual contract value of the above commercial gas heating system contract award is £148,778 per annum with   the four-year contract value is £595,112 and </w:t>
            </w:r>
            <w:r w:rsidR="00D9758D" w:rsidRPr="00DE2AA0">
              <w:rPr>
                <w:szCs w:val="24"/>
              </w:rPr>
              <w:t>i</w:t>
            </w:r>
            <w:r w:rsidR="00085DB9" w:rsidRPr="00DE2AA0">
              <w:rPr>
                <w:szCs w:val="24"/>
              </w:rPr>
              <w:t>f we were to exercise our two-year extension option, the total six-year contract value is £892,668</w:t>
            </w:r>
            <w:r w:rsidRPr="00DE2AA0">
              <w:rPr>
                <w:szCs w:val="24"/>
              </w:rPr>
              <w:t>.</w:t>
            </w:r>
          </w:p>
        </w:tc>
      </w:tr>
    </w:tbl>
    <w:p w14:paraId="0204F38A" w14:textId="54F4273F" w:rsidR="00333FAA" w:rsidRDefault="00333FAA" w:rsidP="00F06E4E">
      <w:pPr>
        <w:pStyle w:val="Heading2"/>
        <w:spacing w:before="480"/>
      </w:pPr>
      <w:r>
        <w:lastRenderedPageBreak/>
        <w:t>Section 2 – Report</w:t>
      </w:r>
    </w:p>
    <w:p w14:paraId="76168D48" w14:textId="34A866E8" w:rsidR="001C7E35" w:rsidRDefault="00F962C8" w:rsidP="00F962C8">
      <w:pPr>
        <w:pStyle w:val="Heading3"/>
        <w:spacing w:before="240"/>
      </w:pPr>
      <w:r>
        <w:t xml:space="preserve">2.0 </w:t>
      </w:r>
      <w:r w:rsidR="001C7E35">
        <w:t>Introductory paragraph</w:t>
      </w:r>
    </w:p>
    <w:p w14:paraId="6913A0A5" w14:textId="77777777" w:rsidR="008D76C5" w:rsidRDefault="008D76C5" w:rsidP="002A7210">
      <w:pPr>
        <w:pStyle w:val="CommentText"/>
        <w:ind w:left="720" w:hanging="720"/>
        <w:rPr>
          <w:rFonts w:cs="Arial"/>
        </w:rPr>
      </w:pPr>
    </w:p>
    <w:p w14:paraId="6AE1CEF0" w14:textId="77777777" w:rsidR="00533248" w:rsidRDefault="00EF3922" w:rsidP="00F962C8">
      <w:pPr>
        <w:pStyle w:val="CommentText"/>
        <w:ind w:left="720" w:hanging="720"/>
        <w:jc w:val="both"/>
        <w:rPr>
          <w:rFonts w:cs="Arial"/>
          <w:sz w:val="24"/>
        </w:rPr>
      </w:pPr>
      <w:r>
        <w:rPr>
          <w:rFonts w:cs="Arial"/>
          <w:sz w:val="24"/>
        </w:rPr>
        <w:t xml:space="preserve">2.1   </w:t>
      </w:r>
      <w:r w:rsidR="0051537C">
        <w:rPr>
          <w:rFonts w:cs="Arial"/>
          <w:sz w:val="24"/>
        </w:rPr>
        <w:t xml:space="preserve"> </w:t>
      </w:r>
      <w:r w:rsidR="007C1E46" w:rsidRPr="004822B6">
        <w:rPr>
          <w:rFonts w:cs="Arial"/>
          <w:sz w:val="24"/>
        </w:rPr>
        <w:t xml:space="preserve">Procurement commenced </w:t>
      </w:r>
      <w:r w:rsidR="00394312">
        <w:rPr>
          <w:rFonts w:cs="Arial"/>
          <w:sz w:val="24"/>
        </w:rPr>
        <w:t xml:space="preserve">in </w:t>
      </w:r>
      <w:r w:rsidR="001F560B">
        <w:rPr>
          <w:rFonts w:cs="Arial"/>
          <w:sz w:val="24"/>
        </w:rPr>
        <w:t xml:space="preserve">January </w:t>
      </w:r>
      <w:r w:rsidR="00782AC8">
        <w:rPr>
          <w:rFonts w:cs="Arial"/>
          <w:sz w:val="24"/>
        </w:rPr>
        <w:t>202</w:t>
      </w:r>
      <w:r w:rsidR="001F560B">
        <w:rPr>
          <w:rFonts w:cs="Arial"/>
          <w:sz w:val="24"/>
        </w:rPr>
        <w:t>1</w:t>
      </w:r>
      <w:r w:rsidR="00782AC8">
        <w:rPr>
          <w:rFonts w:cs="Arial"/>
          <w:sz w:val="24"/>
        </w:rPr>
        <w:t xml:space="preserve"> </w:t>
      </w:r>
      <w:r w:rsidR="007C1E46" w:rsidRPr="004822B6">
        <w:rPr>
          <w:rFonts w:cs="Arial"/>
          <w:sz w:val="24"/>
        </w:rPr>
        <w:t>for both the domestic and</w:t>
      </w:r>
      <w:r w:rsidR="0025251A">
        <w:rPr>
          <w:rFonts w:cs="Arial"/>
          <w:sz w:val="24"/>
        </w:rPr>
        <w:t xml:space="preserve"> </w:t>
      </w:r>
      <w:r w:rsidR="007C1E46" w:rsidRPr="004822B6">
        <w:rPr>
          <w:rFonts w:cs="Arial"/>
          <w:sz w:val="24"/>
        </w:rPr>
        <w:t xml:space="preserve">communal </w:t>
      </w:r>
      <w:r w:rsidR="009759F2">
        <w:rPr>
          <w:rFonts w:cs="Arial"/>
          <w:sz w:val="24"/>
        </w:rPr>
        <w:t xml:space="preserve"> gas</w:t>
      </w:r>
      <w:r w:rsidR="008A636B">
        <w:rPr>
          <w:rFonts w:cs="Arial"/>
          <w:sz w:val="24"/>
        </w:rPr>
        <w:t xml:space="preserve"> </w:t>
      </w:r>
      <w:r w:rsidR="007C1E46" w:rsidRPr="004822B6">
        <w:rPr>
          <w:rFonts w:cs="Arial"/>
          <w:sz w:val="24"/>
        </w:rPr>
        <w:t>contracts</w:t>
      </w:r>
      <w:r w:rsidR="00F57E9B">
        <w:rPr>
          <w:rFonts w:cs="Arial"/>
          <w:sz w:val="24"/>
        </w:rPr>
        <w:t xml:space="preserve"> with </w:t>
      </w:r>
      <w:r w:rsidR="00D043DD">
        <w:rPr>
          <w:rFonts w:cs="Arial"/>
          <w:sz w:val="24"/>
        </w:rPr>
        <w:t xml:space="preserve"> effective </w:t>
      </w:r>
      <w:r w:rsidR="00F57E9B">
        <w:rPr>
          <w:rFonts w:cs="Arial"/>
          <w:sz w:val="24"/>
        </w:rPr>
        <w:t>contract start date in February 2022.</w:t>
      </w:r>
      <w:r w:rsidR="008A636B">
        <w:rPr>
          <w:rFonts w:cs="Arial"/>
          <w:sz w:val="24"/>
        </w:rPr>
        <w:t xml:space="preserve"> </w:t>
      </w:r>
    </w:p>
    <w:p w14:paraId="129FCAB3" w14:textId="77777777" w:rsidR="00533248" w:rsidRDefault="00533248" w:rsidP="00F962C8">
      <w:pPr>
        <w:pStyle w:val="CommentText"/>
        <w:ind w:left="720" w:hanging="720"/>
        <w:jc w:val="both"/>
        <w:rPr>
          <w:rFonts w:cs="Arial"/>
          <w:sz w:val="24"/>
        </w:rPr>
      </w:pPr>
    </w:p>
    <w:p w14:paraId="0817E90D" w14:textId="2354FBE7" w:rsidR="00F962C8" w:rsidRDefault="00533248" w:rsidP="00F962C8">
      <w:pPr>
        <w:pStyle w:val="CommentText"/>
        <w:ind w:left="720" w:hanging="720"/>
        <w:jc w:val="both"/>
        <w:rPr>
          <w:rFonts w:cs="Arial"/>
          <w:sz w:val="24"/>
        </w:rPr>
      </w:pPr>
      <w:r>
        <w:rPr>
          <w:rFonts w:cs="Arial"/>
          <w:sz w:val="24"/>
        </w:rPr>
        <w:t xml:space="preserve">2.2   The procurement process has been managed </w:t>
      </w:r>
      <w:r w:rsidR="00F16C0C">
        <w:rPr>
          <w:rFonts w:cs="Arial"/>
          <w:sz w:val="24"/>
        </w:rPr>
        <w:t>jointly with Fusion21 consultancy framework provider</w:t>
      </w:r>
      <w:r w:rsidR="00442734">
        <w:rPr>
          <w:rFonts w:cs="Arial"/>
          <w:sz w:val="24"/>
        </w:rPr>
        <w:t>.</w:t>
      </w:r>
      <w:r w:rsidR="008A636B">
        <w:rPr>
          <w:rFonts w:cs="Arial"/>
          <w:sz w:val="24"/>
        </w:rPr>
        <w:t xml:space="preserve"> </w:t>
      </w:r>
    </w:p>
    <w:p w14:paraId="43C893DC" w14:textId="00DD3924" w:rsidR="00B37990" w:rsidRDefault="00B37990" w:rsidP="00F962C8">
      <w:pPr>
        <w:pStyle w:val="CommentText"/>
        <w:ind w:left="720" w:hanging="720"/>
        <w:jc w:val="both"/>
        <w:rPr>
          <w:rFonts w:cs="Arial"/>
          <w:sz w:val="24"/>
        </w:rPr>
      </w:pPr>
    </w:p>
    <w:p w14:paraId="41E5C1DE" w14:textId="623E249D" w:rsidR="00B37990" w:rsidRPr="00026D6E" w:rsidRDefault="00B37990" w:rsidP="00F962C8">
      <w:pPr>
        <w:pStyle w:val="CommentText"/>
        <w:ind w:left="720" w:hanging="720"/>
        <w:jc w:val="both"/>
        <w:rPr>
          <w:rFonts w:cs="Arial"/>
          <w:sz w:val="24"/>
        </w:rPr>
      </w:pPr>
      <w:r>
        <w:rPr>
          <w:rFonts w:cs="Arial"/>
          <w:sz w:val="24"/>
        </w:rPr>
        <w:t>2.2     The domestic gas contract</w:t>
      </w:r>
      <w:r w:rsidR="008342E1">
        <w:rPr>
          <w:rFonts w:cs="Arial"/>
          <w:sz w:val="24"/>
        </w:rPr>
        <w:t xml:space="preserve"> is for the statutory provision of essential gas servicing, repairs</w:t>
      </w:r>
      <w:r w:rsidR="00F57E9B">
        <w:rPr>
          <w:rFonts w:cs="Arial"/>
          <w:sz w:val="24"/>
        </w:rPr>
        <w:t xml:space="preserve">, </w:t>
      </w:r>
      <w:r w:rsidR="008342E1">
        <w:rPr>
          <w:rFonts w:cs="Arial"/>
          <w:sz w:val="24"/>
        </w:rPr>
        <w:t xml:space="preserve"> new boiler installations</w:t>
      </w:r>
      <w:r w:rsidR="00F57E9B">
        <w:rPr>
          <w:rFonts w:cs="Arial"/>
          <w:sz w:val="24"/>
        </w:rPr>
        <w:t xml:space="preserve"> and testing of smoke alarms </w:t>
      </w:r>
      <w:r w:rsidR="008342E1">
        <w:rPr>
          <w:rFonts w:cs="Arial"/>
          <w:sz w:val="24"/>
        </w:rPr>
        <w:t xml:space="preserve"> </w:t>
      </w:r>
      <w:r w:rsidR="00BE71D1">
        <w:rPr>
          <w:rFonts w:cs="Arial"/>
          <w:sz w:val="24"/>
        </w:rPr>
        <w:t xml:space="preserve">over a </w:t>
      </w:r>
      <w:r w:rsidR="00E73663">
        <w:rPr>
          <w:rFonts w:cs="Arial"/>
          <w:sz w:val="24"/>
        </w:rPr>
        <w:t>4-year</w:t>
      </w:r>
      <w:r w:rsidR="00BE71D1">
        <w:rPr>
          <w:rFonts w:cs="Arial"/>
          <w:sz w:val="24"/>
        </w:rPr>
        <w:t xml:space="preserve"> contract pe</w:t>
      </w:r>
      <w:r w:rsidR="00C54062">
        <w:rPr>
          <w:rFonts w:cs="Arial"/>
          <w:sz w:val="24"/>
        </w:rPr>
        <w:t xml:space="preserve">riod </w:t>
      </w:r>
      <w:r w:rsidR="00BE71D1">
        <w:rPr>
          <w:rFonts w:cs="Arial"/>
          <w:sz w:val="24"/>
        </w:rPr>
        <w:t xml:space="preserve">with an option to extend </w:t>
      </w:r>
      <w:r w:rsidR="00743BFF">
        <w:rPr>
          <w:rFonts w:cs="Arial"/>
          <w:sz w:val="24"/>
        </w:rPr>
        <w:t xml:space="preserve">for a further 2 years. This contract is for </w:t>
      </w:r>
      <w:r w:rsidR="00C16F91">
        <w:rPr>
          <w:rFonts w:cs="Arial"/>
          <w:sz w:val="24"/>
        </w:rPr>
        <w:t>3</w:t>
      </w:r>
      <w:r w:rsidR="00C54062">
        <w:rPr>
          <w:rFonts w:cs="Arial"/>
          <w:sz w:val="24"/>
        </w:rPr>
        <w:t>,</w:t>
      </w:r>
      <w:r w:rsidR="00C16F91">
        <w:rPr>
          <w:rFonts w:cs="Arial"/>
          <w:sz w:val="24"/>
        </w:rPr>
        <w:t xml:space="preserve">812 </w:t>
      </w:r>
      <w:r w:rsidR="00743BFF">
        <w:rPr>
          <w:rFonts w:cs="Arial"/>
          <w:sz w:val="24"/>
        </w:rPr>
        <w:t>HRA pr</w:t>
      </w:r>
      <w:r w:rsidR="00C16F91">
        <w:rPr>
          <w:rFonts w:cs="Arial"/>
          <w:sz w:val="24"/>
        </w:rPr>
        <w:t>operties</w:t>
      </w:r>
      <w:r w:rsidR="0027185B">
        <w:rPr>
          <w:rFonts w:cs="Arial"/>
          <w:sz w:val="24"/>
        </w:rPr>
        <w:t xml:space="preserve"> </w:t>
      </w:r>
      <w:r w:rsidR="0027185B" w:rsidRPr="00026D6E">
        <w:rPr>
          <w:rFonts w:cs="Arial"/>
          <w:sz w:val="24"/>
        </w:rPr>
        <w:t xml:space="preserve">and </w:t>
      </w:r>
      <w:r w:rsidR="00026D6E" w:rsidRPr="00026D6E">
        <w:rPr>
          <w:rFonts w:cs="Arial"/>
          <w:sz w:val="24"/>
        </w:rPr>
        <w:t>133 general fund temporary accommodation properties</w:t>
      </w:r>
      <w:r w:rsidR="0027185B" w:rsidRPr="00026D6E">
        <w:rPr>
          <w:rFonts w:cs="Arial"/>
          <w:sz w:val="24"/>
        </w:rPr>
        <w:t>.</w:t>
      </w:r>
      <w:r w:rsidR="0027185B">
        <w:rPr>
          <w:rFonts w:cs="Arial"/>
          <w:sz w:val="24"/>
        </w:rPr>
        <w:t xml:space="preserve"> </w:t>
      </w:r>
    </w:p>
    <w:p w14:paraId="3FE76AE2" w14:textId="77777777" w:rsidR="00971B6C" w:rsidRDefault="00971B6C" w:rsidP="00F962C8">
      <w:pPr>
        <w:pStyle w:val="CommentText"/>
        <w:ind w:left="720" w:hanging="720"/>
        <w:jc w:val="both"/>
        <w:rPr>
          <w:rFonts w:cs="Arial"/>
          <w:sz w:val="24"/>
        </w:rPr>
      </w:pPr>
    </w:p>
    <w:p w14:paraId="54A5EFBA" w14:textId="59B122DE" w:rsidR="00577DAA" w:rsidRDefault="00971B6C" w:rsidP="00F962C8">
      <w:pPr>
        <w:pStyle w:val="CommentText"/>
        <w:ind w:left="720" w:hanging="720"/>
        <w:jc w:val="both"/>
        <w:rPr>
          <w:rFonts w:cs="Arial"/>
          <w:sz w:val="24"/>
        </w:rPr>
      </w:pPr>
      <w:r>
        <w:rPr>
          <w:rFonts w:cs="Arial"/>
          <w:sz w:val="24"/>
        </w:rPr>
        <w:t xml:space="preserve">2.3   </w:t>
      </w:r>
      <w:r w:rsidR="00877E34">
        <w:rPr>
          <w:rFonts w:cs="Arial"/>
          <w:sz w:val="24"/>
        </w:rPr>
        <w:t xml:space="preserve">  </w:t>
      </w:r>
      <w:r>
        <w:rPr>
          <w:rFonts w:cs="Arial"/>
          <w:sz w:val="24"/>
        </w:rPr>
        <w:t>The commercial gas contract is for the statutory provision of essential gas servicing</w:t>
      </w:r>
      <w:r w:rsidR="00D02FE7">
        <w:rPr>
          <w:rFonts w:cs="Arial"/>
          <w:sz w:val="24"/>
        </w:rPr>
        <w:t xml:space="preserve"> and repairs to existing boiler systems on 17 sheltered schemes, 3 general needs blocks and 10 community centres</w:t>
      </w:r>
      <w:r w:rsidR="00D5538B">
        <w:rPr>
          <w:rFonts w:cs="Arial"/>
          <w:sz w:val="24"/>
        </w:rPr>
        <w:t>.</w:t>
      </w:r>
    </w:p>
    <w:p w14:paraId="7B939688" w14:textId="6802D138" w:rsidR="00D5538B" w:rsidRDefault="00D5538B" w:rsidP="00F962C8">
      <w:pPr>
        <w:pStyle w:val="CommentText"/>
        <w:ind w:left="720" w:hanging="720"/>
        <w:jc w:val="both"/>
        <w:rPr>
          <w:rFonts w:cs="Arial"/>
          <w:sz w:val="24"/>
        </w:rPr>
      </w:pPr>
    </w:p>
    <w:p w14:paraId="4F214E40" w14:textId="0B35FF0F" w:rsidR="00D5538B" w:rsidRDefault="00D5538B" w:rsidP="00F962C8">
      <w:pPr>
        <w:pStyle w:val="CommentText"/>
        <w:ind w:left="720" w:hanging="720"/>
        <w:jc w:val="both"/>
        <w:rPr>
          <w:rFonts w:cs="Arial"/>
          <w:sz w:val="24"/>
        </w:rPr>
      </w:pPr>
      <w:r>
        <w:rPr>
          <w:rFonts w:cs="Arial"/>
          <w:sz w:val="24"/>
        </w:rPr>
        <w:t xml:space="preserve">2.4 </w:t>
      </w:r>
      <w:r w:rsidR="00B4338B">
        <w:rPr>
          <w:rFonts w:cs="Arial"/>
          <w:sz w:val="24"/>
        </w:rPr>
        <w:tab/>
      </w:r>
      <w:r w:rsidR="0067176F">
        <w:rPr>
          <w:rFonts w:cs="Arial"/>
          <w:sz w:val="24"/>
        </w:rPr>
        <w:t xml:space="preserve">In procuring this contract </w:t>
      </w:r>
      <w:r w:rsidR="00B24909">
        <w:rPr>
          <w:rFonts w:cs="Arial"/>
          <w:sz w:val="24"/>
        </w:rPr>
        <w:t xml:space="preserve">our aim was </w:t>
      </w:r>
      <w:r w:rsidR="000953C7">
        <w:rPr>
          <w:rFonts w:cs="Arial"/>
          <w:sz w:val="24"/>
        </w:rPr>
        <w:t xml:space="preserve">to ensure that we improve the quality of our provision in this important </w:t>
      </w:r>
      <w:r w:rsidR="006D1C5F">
        <w:rPr>
          <w:rFonts w:cs="Arial"/>
          <w:sz w:val="24"/>
        </w:rPr>
        <w:t xml:space="preserve">statutory </w:t>
      </w:r>
      <w:r w:rsidR="000953C7">
        <w:rPr>
          <w:rFonts w:cs="Arial"/>
          <w:sz w:val="24"/>
        </w:rPr>
        <w:t xml:space="preserve">area. </w:t>
      </w:r>
      <w:r w:rsidR="00F412CF">
        <w:rPr>
          <w:rFonts w:cs="Arial"/>
          <w:sz w:val="24"/>
        </w:rPr>
        <w:t xml:space="preserve">We have detailed </w:t>
      </w:r>
      <w:r w:rsidR="009B627C">
        <w:rPr>
          <w:rFonts w:cs="Arial"/>
          <w:sz w:val="24"/>
        </w:rPr>
        <w:t xml:space="preserve">in </w:t>
      </w:r>
      <w:r w:rsidR="00C5118A">
        <w:rPr>
          <w:rFonts w:cs="Arial"/>
          <w:sz w:val="24"/>
        </w:rPr>
        <w:t xml:space="preserve">Sections </w:t>
      </w:r>
      <w:r w:rsidR="0067176F">
        <w:rPr>
          <w:rFonts w:cs="Arial"/>
          <w:sz w:val="24"/>
        </w:rPr>
        <w:t xml:space="preserve"> </w:t>
      </w:r>
      <w:r w:rsidR="00B36CAD">
        <w:rPr>
          <w:rFonts w:cs="Arial"/>
          <w:sz w:val="24"/>
        </w:rPr>
        <w:t xml:space="preserve">8 and 9 of this report where we will get an improved service in terms of performance </w:t>
      </w:r>
      <w:r w:rsidR="00CD116F">
        <w:rPr>
          <w:rFonts w:cs="Arial"/>
          <w:sz w:val="24"/>
        </w:rPr>
        <w:t>and quality.  However, in letting this contract we are also mindful th</w:t>
      </w:r>
      <w:r w:rsidR="00602AED">
        <w:rPr>
          <w:rFonts w:cs="Arial"/>
          <w:sz w:val="24"/>
        </w:rPr>
        <w:t xml:space="preserve">at this is </w:t>
      </w:r>
      <w:r w:rsidR="000B5CCA">
        <w:rPr>
          <w:rFonts w:cs="Arial"/>
          <w:sz w:val="24"/>
        </w:rPr>
        <w:t>an area wh</w:t>
      </w:r>
      <w:r w:rsidR="00F3117B">
        <w:rPr>
          <w:rFonts w:cs="Arial"/>
          <w:sz w:val="24"/>
        </w:rPr>
        <w:t>ich needs to work in tandem with the Council’s carbon reduction strategy</w:t>
      </w:r>
      <w:r w:rsidR="00567164">
        <w:rPr>
          <w:rFonts w:cs="Arial"/>
          <w:sz w:val="24"/>
        </w:rPr>
        <w:t xml:space="preserve">.  The contract is flexible enough to accommodate this changing environment as we </w:t>
      </w:r>
      <w:r w:rsidR="008F663A">
        <w:rPr>
          <w:rFonts w:cs="Arial"/>
          <w:sz w:val="24"/>
        </w:rPr>
        <w:t xml:space="preserve">will be moving from the provision of gas </w:t>
      </w:r>
      <w:r w:rsidR="00A55F51">
        <w:rPr>
          <w:rFonts w:cs="Arial"/>
          <w:sz w:val="24"/>
        </w:rPr>
        <w:t>to the implementation of newer technologies, particularly heat pumps.</w:t>
      </w:r>
      <w:r w:rsidR="00B4338B">
        <w:rPr>
          <w:rFonts w:cs="Arial"/>
          <w:sz w:val="24"/>
        </w:rPr>
        <w:t xml:space="preserve"> </w:t>
      </w:r>
    </w:p>
    <w:p w14:paraId="0A078380" w14:textId="78EDCBDC" w:rsidR="00AD1E77" w:rsidRDefault="0059630E" w:rsidP="00A1211C">
      <w:pPr>
        <w:pStyle w:val="Heading3"/>
        <w:spacing w:before="240"/>
        <w:ind w:left="0" w:firstLine="0"/>
        <w:jc w:val="left"/>
      </w:pPr>
      <w:r>
        <w:t>3.0</w:t>
      </w:r>
      <w:r>
        <w:tab/>
      </w:r>
      <w:r w:rsidR="001C7E35">
        <w:t xml:space="preserve">Options considered  </w:t>
      </w:r>
      <w:r w:rsidR="00E53C6A">
        <w:t xml:space="preserve">  </w:t>
      </w:r>
    </w:p>
    <w:p w14:paraId="0AADB5A5" w14:textId="451E2CEB" w:rsidR="00BB4A24" w:rsidRDefault="00BB4A24" w:rsidP="00AD1E77">
      <w:pPr>
        <w:rPr>
          <w:b/>
          <w:color w:val="FF0000"/>
        </w:rPr>
      </w:pPr>
    </w:p>
    <w:p w14:paraId="31AE1321" w14:textId="39B08263" w:rsidR="00BB4A24" w:rsidRDefault="00961634" w:rsidP="005D77B8">
      <w:pPr>
        <w:ind w:firstLine="720"/>
        <w:rPr>
          <w:b/>
        </w:rPr>
      </w:pPr>
      <w:r>
        <w:rPr>
          <w:b/>
        </w:rPr>
        <w:t>1.</w:t>
      </w:r>
      <w:r w:rsidR="00095E97" w:rsidRPr="00591E51">
        <w:rPr>
          <w:b/>
        </w:rPr>
        <w:t xml:space="preserve">Domestic </w:t>
      </w:r>
      <w:r w:rsidR="00D44575">
        <w:rPr>
          <w:b/>
        </w:rPr>
        <w:t xml:space="preserve">gas </w:t>
      </w:r>
      <w:r w:rsidR="00B50013" w:rsidRPr="00591E51">
        <w:rPr>
          <w:b/>
        </w:rPr>
        <w:t>heating contract</w:t>
      </w:r>
    </w:p>
    <w:p w14:paraId="4386E396" w14:textId="77777777" w:rsidR="009D089F" w:rsidRPr="00591E51" w:rsidRDefault="009D089F" w:rsidP="00AD1E77">
      <w:pPr>
        <w:rPr>
          <w:b/>
        </w:rPr>
      </w:pPr>
    </w:p>
    <w:p w14:paraId="102681E5" w14:textId="0005F655" w:rsidR="00A03683" w:rsidRDefault="009D089F" w:rsidP="00B32326">
      <w:pPr>
        <w:ind w:left="720"/>
        <w:jc w:val="both"/>
        <w:rPr>
          <w:b/>
        </w:rPr>
      </w:pPr>
      <w:r>
        <w:rPr>
          <w:b/>
        </w:rPr>
        <w:t xml:space="preserve">(a). </w:t>
      </w:r>
      <w:r w:rsidR="00A03683" w:rsidRPr="009D089F">
        <w:rPr>
          <w:b/>
        </w:rPr>
        <w:t>Avoiding delay in award by reducing contract term</w:t>
      </w:r>
      <w:r w:rsidR="009D6630">
        <w:rPr>
          <w:b/>
        </w:rPr>
        <w:t xml:space="preserve"> to current value</w:t>
      </w:r>
    </w:p>
    <w:p w14:paraId="7FC7D7A4" w14:textId="77777777" w:rsidR="007246FE" w:rsidRPr="009D089F" w:rsidRDefault="007246FE" w:rsidP="00B32326">
      <w:pPr>
        <w:ind w:left="720"/>
        <w:jc w:val="both"/>
        <w:rPr>
          <w:b/>
        </w:rPr>
      </w:pPr>
    </w:p>
    <w:p w14:paraId="75C8A5C7" w14:textId="7E8549B1" w:rsidR="0046421C" w:rsidRPr="00591E51" w:rsidRDefault="00242A49" w:rsidP="00B32326">
      <w:pPr>
        <w:ind w:left="720"/>
        <w:jc w:val="both"/>
        <w:rPr>
          <w:bCs/>
        </w:rPr>
      </w:pPr>
      <w:r>
        <w:rPr>
          <w:bCs/>
        </w:rPr>
        <w:t xml:space="preserve">This </w:t>
      </w:r>
      <w:r w:rsidR="009D089F">
        <w:rPr>
          <w:bCs/>
        </w:rPr>
        <w:t xml:space="preserve">option </w:t>
      </w:r>
      <w:r>
        <w:rPr>
          <w:bCs/>
        </w:rPr>
        <w:t xml:space="preserve">would have kept the overall contract value in line with the original </w:t>
      </w:r>
      <w:r w:rsidR="009D089F">
        <w:rPr>
          <w:bCs/>
        </w:rPr>
        <w:t xml:space="preserve">amount </w:t>
      </w:r>
      <w:r>
        <w:rPr>
          <w:bCs/>
        </w:rPr>
        <w:t>Cabinet approv</w:t>
      </w:r>
      <w:r w:rsidR="00B2515C">
        <w:rPr>
          <w:bCs/>
        </w:rPr>
        <w:t>ed</w:t>
      </w:r>
      <w:r>
        <w:rPr>
          <w:bCs/>
        </w:rPr>
        <w:t xml:space="preserve"> to procure.  </w:t>
      </w:r>
      <w:r w:rsidR="00A45C00">
        <w:rPr>
          <w:bCs/>
        </w:rPr>
        <w:t>However,</w:t>
      </w:r>
      <w:r w:rsidR="00E90F6B">
        <w:rPr>
          <w:bCs/>
        </w:rPr>
        <w:t xml:space="preserve"> this</w:t>
      </w:r>
      <w:r w:rsidR="00375E30">
        <w:rPr>
          <w:bCs/>
        </w:rPr>
        <w:t xml:space="preserve"> </w:t>
      </w:r>
      <w:r w:rsidR="00E52E19">
        <w:rPr>
          <w:bCs/>
        </w:rPr>
        <w:t xml:space="preserve">would result </w:t>
      </w:r>
      <w:r w:rsidR="00E52E19">
        <w:rPr>
          <w:bCs/>
        </w:rPr>
        <w:lastRenderedPageBreak/>
        <w:t xml:space="preserve">in a reduction in the overall </w:t>
      </w:r>
      <w:r w:rsidR="007C380A">
        <w:rPr>
          <w:bCs/>
        </w:rPr>
        <w:t xml:space="preserve">contract length and a further </w:t>
      </w:r>
      <w:r w:rsidR="009965A5">
        <w:rPr>
          <w:bCs/>
        </w:rPr>
        <w:t>procurement</w:t>
      </w:r>
      <w:r w:rsidR="007C380A">
        <w:rPr>
          <w:bCs/>
        </w:rPr>
        <w:t xml:space="preserve"> exercise.  </w:t>
      </w:r>
      <w:r w:rsidR="00474DFA">
        <w:rPr>
          <w:bCs/>
        </w:rPr>
        <w:t>There would be a significant cost in thi</w:t>
      </w:r>
      <w:r w:rsidR="00BC3C02">
        <w:rPr>
          <w:bCs/>
        </w:rPr>
        <w:t>s.</w:t>
      </w:r>
    </w:p>
    <w:p w14:paraId="4AA7E8A7" w14:textId="77777777" w:rsidR="009D6630" w:rsidRDefault="009D6630" w:rsidP="00B32326">
      <w:pPr>
        <w:jc w:val="both"/>
        <w:rPr>
          <w:b/>
        </w:rPr>
      </w:pPr>
    </w:p>
    <w:p w14:paraId="0AB6622A" w14:textId="38241880" w:rsidR="0046421C" w:rsidRDefault="009D089F" w:rsidP="00B32326">
      <w:pPr>
        <w:ind w:left="720"/>
        <w:jc w:val="both"/>
        <w:rPr>
          <w:b/>
        </w:rPr>
      </w:pPr>
      <w:r>
        <w:rPr>
          <w:b/>
        </w:rPr>
        <w:t xml:space="preserve">(b). </w:t>
      </w:r>
      <w:r w:rsidR="009D6630">
        <w:rPr>
          <w:b/>
        </w:rPr>
        <w:t>Returning</w:t>
      </w:r>
      <w:r w:rsidRPr="009D089F">
        <w:rPr>
          <w:b/>
        </w:rPr>
        <w:t xml:space="preserve"> to Cabinet to seek full amount of budget increase to award </w:t>
      </w:r>
      <w:r w:rsidR="00511B06">
        <w:rPr>
          <w:b/>
        </w:rPr>
        <w:t xml:space="preserve">the </w:t>
      </w:r>
      <w:r w:rsidRPr="009D089F">
        <w:rPr>
          <w:b/>
        </w:rPr>
        <w:t>contract</w:t>
      </w:r>
      <w:r w:rsidR="00511B06">
        <w:rPr>
          <w:b/>
        </w:rPr>
        <w:t>s</w:t>
      </w:r>
      <w:r w:rsidRPr="009D089F">
        <w:rPr>
          <w:b/>
        </w:rPr>
        <w:t xml:space="preserve"> as advertised</w:t>
      </w:r>
    </w:p>
    <w:p w14:paraId="32AB50A6" w14:textId="77777777" w:rsidR="001712B4" w:rsidRPr="009D089F" w:rsidRDefault="001712B4" w:rsidP="00B32326">
      <w:pPr>
        <w:ind w:left="720"/>
        <w:jc w:val="both"/>
        <w:rPr>
          <w:b/>
        </w:rPr>
      </w:pPr>
    </w:p>
    <w:p w14:paraId="1512DCB1" w14:textId="3A192B2F" w:rsidR="009D089F" w:rsidRDefault="009D089F" w:rsidP="00B32326">
      <w:pPr>
        <w:ind w:left="720"/>
        <w:jc w:val="both"/>
        <w:rPr>
          <w:bCs/>
        </w:rPr>
      </w:pPr>
      <w:r w:rsidRPr="00591E51">
        <w:rPr>
          <w:bCs/>
        </w:rPr>
        <w:t xml:space="preserve">it was </w:t>
      </w:r>
      <w:r w:rsidR="009965A5">
        <w:rPr>
          <w:bCs/>
        </w:rPr>
        <w:t xml:space="preserve">agreed </w:t>
      </w:r>
      <w:r w:rsidR="009965A5" w:rsidRPr="00591E51">
        <w:rPr>
          <w:bCs/>
        </w:rPr>
        <w:t>with</w:t>
      </w:r>
      <w:r>
        <w:rPr>
          <w:bCs/>
        </w:rPr>
        <w:t xml:space="preserve"> our legal and procurement colleagues </w:t>
      </w:r>
      <w:r w:rsidRPr="00591E51">
        <w:rPr>
          <w:bCs/>
        </w:rPr>
        <w:t xml:space="preserve">that the best approach would be to go back to Cabinet to seek authority to increase </w:t>
      </w:r>
      <w:r>
        <w:rPr>
          <w:bCs/>
        </w:rPr>
        <w:t>the contract value</w:t>
      </w:r>
      <w:r w:rsidR="008417FF">
        <w:rPr>
          <w:bCs/>
        </w:rPr>
        <w:t>.</w:t>
      </w:r>
      <w:r>
        <w:rPr>
          <w:bCs/>
        </w:rPr>
        <w:t xml:space="preserve"> </w:t>
      </w:r>
      <w:r w:rsidR="00511B06">
        <w:rPr>
          <w:bCs/>
        </w:rPr>
        <w:t>O</w:t>
      </w:r>
      <w:r w:rsidR="003B0164">
        <w:rPr>
          <w:bCs/>
        </w:rPr>
        <w:t xml:space="preserve">ur </w:t>
      </w:r>
      <w:r w:rsidR="00CC413E">
        <w:rPr>
          <w:bCs/>
        </w:rPr>
        <w:t>tender analysis shows that this relates t</w:t>
      </w:r>
      <w:r w:rsidR="00FC292E">
        <w:rPr>
          <w:bCs/>
        </w:rPr>
        <w:t xml:space="preserve">o </w:t>
      </w:r>
      <w:r w:rsidR="00511B06">
        <w:rPr>
          <w:bCs/>
        </w:rPr>
        <w:t>increased non</w:t>
      </w:r>
      <w:r w:rsidR="00516FE9">
        <w:rPr>
          <w:bCs/>
        </w:rPr>
        <w:t>-</w:t>
      </w:r>
      <w:r w:rsidR="00511B06">
        <w:rPr>
          <w:bCs/>
        </w:rPr>
        <w:t>fixed repair works</w:t>
      </w:r>
      <w:r w:rsidR="00B63AF6">
        <w:rPr>
          <w:bCs/>
        </w:rPr>
        <w:t xml:space="preserve">.  </w:t>
      </w:r>
      <w:r w:rsidR="00511B06">
        <w:rPr>
          <w:bCs/>
        </w:rPr>
        <w:t xml:space="preserve">These </w:t>
      </w:r>
      <w:r w:rsidR="00516FE9">
        <w:rPr>
          <w:bCs/>
        </w:rPr>
        <w:t>particular</w:t>
      </w:r>
      <w:r w:rsidR="00511B06">
        <w:rPr>
          <w:bCs/>
        </w:rPr>
        <w:t xml:space="preserve"> relate to our aging communal boiler stock. </w:t>
      </w:r>
      <w:r w:rsidR="00B63AF6">
        <w:rPr>
          <w:bCs/>
        </w:rPr>
        <w:t xml:space="preserve">As explained above </w:t>
      </w:r>
      <w:r w:rsidR="00511B06">
        <w:rPr>
          <w:bCs/>
        </w:rPr>
        <w:t xml:space="preserve">as part of our </w:t>
      </w:r>
      <w:r w:rsidR="00062AC1">
        <w:rPr>
          <w:bCs/>
        </w:rPr>
        <w:t xml:space="preserve">carbon </w:t>
      </w:r>
      <w:r w:rsidR="00511B06">
        <w:rPr>
          <w:bCs/>
        </w:rPr>
        <w:t xml:space="preserve">reduction work we </w:t>
      </w:r>
      <w:r w:rsidR="00062AC1">
        <w:rPr>
          <w:bCs/>
        </w:rPr>
        <w:t xml:space="preserve">will </w:t>
      </w:r>
      <w:r w:rsidR="00511B06">
        <w:rPr>
          <w:bCs/>
        </w:rPr>
        <w:t xml:space="preserve">be </w:t>
      </w:r>
      <w:r w:rsidR="00201395">
        <w:rPr>
          <w:bCs/>
        </w:rPr>
        <w:t xml:space="preserve">replacing gas installs with new technology such as heat pumps.  </w:t>
      </w:r>
      <w:r w:rsidR="00511B06">
        <w:rPr>
          <w:bCs/>
        </w:rPr>
        <w:t xml:space="preserve">We have already begun this process at 3 of our sheltered sites. </w:t>
      </w:r>
      <w:r w:rsidR="00A61138">
        <w:rPr>
          <w:bCs/>
        </w:rPr>
        <w:t>We also detail above future progress on this crucial council policy for redu</w:t>
      </w:r>
      <w:r w:rsidR="00BA6601">
        <w:rPr>
          <w:bCs/>
        </w:rPr>
        <w:t>c</w:t>
      </w:r>
      <w:r w:rsidR="00A61138">
        <w:rPr>
          <w:bCs/>
        </w:rPr>
        <w:t xml:space="preserve">ing carbon. </w:t>
      </w:r>
      <w:r w:rsidR="00511B06">
        <w:rPr>
          <w:bCs/>
        </w:rPr>
        <w:t>T</w:t>
      </w:r>
      <w:r w:rsidR="00117681">
        <w:rPr>
          <w:bCs/>
        </w:rPr>
        <w:t xml:space="preserve">he Council has the option to tender these </w:t>
      </w:r>
      <w:r w:rsidR="00580E9A">
        <w:rPr>
          <w:bCs/>
        </w:rPr>
        <w:t xml:space="preserve">on the open market </w:t>
      </w:r>
      <w:r w:rsidR="00117681">
        <w:rPr>
          <w:bCs/>
        </w:rPr>
        <w:t>should it so wish.</w:t>
      </w:r>
      <w:r w:rsidR="00580E9A" w:rsidRPr="00580E9A">
        <w:rPr>
          <w:bCs/>
        </w:rPr>
        <w:t xml:space="preserve"> </w:t>
      </w:r>
    </w:p>
    <w:p w14:paraId="5EA10375" w14:textId="789CC66D" w:rsidR="009D089F" w:rsidRDefault="009D089F" w:rsidP="00AD1E77">
      <w:pPr>
        <w:rPr>
          <w:bCs/>
        </w:rPr>
      </w:pPr>
    </w:p>
    <w:p w14:paraId="3A9F89B8" w14:textId="5C1073FF" w:rsidR="00B313E6" w:rsidRDefault="00961634" w:rsidP="005D77B8">
      <w:pPr>
        <w:ind w:left="720"/>
        <w:rPr>
          <w:b/>
        </w:rPr>
      </w:pPr>
      <w:r w:rsidRPr="005D77B8">
        <w:rPr>
          <w:b/>
        </w:rPr>
        <w:t>2.</w:t>
      </w:r>
      <w:r w:rsidR="00217359">
        <w:rPr>
          <w:b/>
        </w:rPr>
        <w:t xml:space="preserve"> </w:t>
      </w:r>
      <w:r w:rsidR="00B313E6" w:rsidRPr="009D089F">
        <w:rPr>
          <w:b/>
        </w:rPr>
        <w:t xml:space="preserve">Communal </w:t>
      </w:r>
      <w:r w:rsidR="00D44575" w:rsidRPr="009D089F">
        <w:rPr>
          <w:b/>
        </w:rPr>
        <w:t xml:space="preserve">gas </w:t>
      </w:r>
      <w:r w:rsidR="00B313E6" w:rsidRPr="009D089F">
        <w:rPr>
          <w:b/>
        </w:rPr>
        <w:t>heating contract</w:t>
      </w:r>
      <w:r w:rsidR="00D44575" w:rsidRPr="009D089F">
        <w:rPr>
          <w:b/>
        </w:rPr>
        <w:t xml:space="preserve"> – authority to award following a tender </w:t>
      </w:r>
      <w:r w:rsidR="00252E00" w:rsidRPr="009D089F">
        <w:rPr>
          <w:b/>
        </w:rPr>
        <w:t>exercise</w:t>
      </w:r>
    </w:p>
    <w:p w14:paraId="6464751D" w14:textId="77777777" w:rsidR="009D6630" w:rsidRDefault="009D6630" w:rsidP="0046421C">
      <w:pPr>
        <w:rPr>
          <w:b/>
        </w:rPr>
      </w:pPr>
      <w:r>
        <w:rPr>
          <w:b/>
        </w:rPr>
        <w:t xml:space="preserve"> </w:t>
      </w:r>
    </w:p>
    <w:p w14:paraId="6F093A62" w14:textId="5FC32E3B" w:rsidR="009D6630" w:rsidRDefault="009D6630" w:rsidP="005D77B8">
      <w:pPr>
        <w:ind w:left="720"/>
        <w:rPr>
          <w:b/>
        </w:rPr>
      </w:pPr>
      <w:r>
        <w:rPr>
          <w:b/>
        </w:rPr>
        <w:t>(a). Seek authority to enable award of contract</w:t>
      </w:r>
    </w:p>
    <w:p w14:paraId="5DD17DAD" w14:textId="77777777" w:rsidR="002A4C14" w:rsidRPr="009D089F" w:rsidRDefault="002A4C14" w:rsidP="005D77B8">
      <w:pPr>
        <w:ind w:left="720"/>
        <w:rPr>
          <w:b/>
        </w:rPr>
      </w:pPr>
    </w:p>
    <w:p w14:paraId="16DA306D" w14:textId="1C69FBB9" w:rsidR="008D2112" w:rsidRDefault="008417FF" w:rsidP="005D77B8">
      <w:pPr>
        <w:ind w:left="720"/>
        <w:rPr>
          <w:bCs/>
        </w:rPr>
      </w:pPr>
      <w:r>
        <w:rPr>
          <w:bCs/>
        </w:rPr>
        <w:t xml:space="preserve">We are seeking approval from cabinet to award </w:t>
      </w:r>
      <w:r w:rsidR="00BC0502">
        <w:rPr>
          <w:bCs/>
        </w:rPr>
        <w:t xml:space="preserve">as per recommendation number </w:t>
      </w:r>
      <w:r w:rsidR="00AE2D22">
        <w:rPr>
          <w:bCs/>
        </w:rPr>
        <w:t>3</w:t>
      </w:r>
      <w:r w:rsidR="00BC0502">
        <w:rPr>
          <w:bCs/>
        </w:rPr>
        <w:t>.  (please see procurement implication section for more detail)</w:t>
      </w:r>
    </w:p>
    <w:p w14:paraId="2D905F7F" w14:textId="77777777" w:rsidR="008417FF" w:rsidRDefault="008417FF" w:rsidP="005D77B8">
      <w:pPr>
        <w:ind w:left="720"/>
        <w:rPr>
          <w:bCs/>
        </w:rPr>
      </w:pPr>
    </w:p>
    <w:p w14:paraId="5E3D76B0" w14:textId="001BD223" w:rsidR="00333FAA" w:rsidRPr="00A97953" w:rsidRDefault="0059630E" w:rsidP="00333FAA">
      <w:pPr>
        <w:pStyle w:val="Heading2"/>
        <w:rPr>
          <w:rFonts w:ascii="Arial" w:hAnsi="Arial"/>
          <w:sz w:val="28"/>
          <w:szCs w:val="28"/>
        </w:rPr>
      </w:pPr>
      <w:r w:rsidRPr="00A97953">
        <w:rPr>
          <w:rFonts w:ascii="Arial" w:hAnsi="Arial"/>
          <w:sz w:val="28"/>
          <w:szCs w:val="28"/>
        </w:rPr>
        <w:t>4.0</w:t>
      </w:r>
      <w:r w:rsidRPr="00A97953">
        <w:rPr>
          <w:rFonts w:ascii="Arial" w:hAnsi="Arial"/>
          <w:sz w:val="28"/>
          <w:szCs w:val="28"/>
        </w:rPr>
        <w:tab/>
      </w:r>
      <w:r w:rsidR="00333FAA" w:rsidRPr="00A97953">
        <w:rPr>
          <w:rFonts w:ascii="Arial" w:hAnsi="Arial"/>
          <w:sz w:val="28"/>
          <w:szCs w:val="28"/>
        </w:rPr>
        <w:t>Implications of the Recommendation</w:t>
      </w:r>
      <w:r w:rsidR="003B0164">
        <w:rPr>
          <w:rFonts w:ascii="Arial" w:hAnsi="Arial"/>
          <w:sz w:val="28"/>
          <w:szCs w:val="28"/>
        </w:rPr>
        <w:t>s</w:t>
      </w:r>
    </w:p>
    <w:p w14:paraId="6FA72DEF" w14:textId="77777777" w:rsidR="00A97953" w:rsidRPr="00A97953" w:rsidRDefault="00A97953" w:rsidP="00A97953"/>
    <w:p w14:paraId="053D774C" w14:textId="070E73E5" w:rsidR="0046421C" w:rsidRPr="00A052F4" w:rsidRDefault="005D77B8" w:rsidP="00A052F4">
      <w:pPr>
        <w:ind w:left="720" w:hanging="720"/>
        <w:jc w:val="both"/>
      </w:pPr>
      <w:r>
        <w:t>4.1</w:t>
      </w:r>
      <w:r>
        <w:tab/>
      </w:r>
      <w:r w:rsidR="003C64EE">
        <w:t>The recommended actions</w:t>
      </w:r>
      <w:r w:rsidR="00B313E6">
        <w:t xml:space="preserve"> will enable </w:t>
      </w:r>
      <w:r w:rsidR="003C64EE">
        <w:t xml:space="preserve">the Council </w:t>
      </w:r>
      <w:r w:rsidR="00B313E6">
        <w:t>to continue with a provision of essential services to the Borough’s</w:t>
      </w:r>
      <w:r w:rsidR="00E90791">
        <w:t xml:space="preserve"> housing</w:t>
      </w:r>
      <w:r w:rsidR="00B313E6">
        <w:t xml:space="preserve"> stock </w:t>
      </w:r>
      <w:r w:rsidR="00B313E6" w:rsidRPr="00374C9C">
        <w:t xml:space="preserve">as per our statutory </w:t>
      </w:r>
      <w:r w:rsidR="00B313E6">
        <w:t>duties</w:t>
      </w:r>
      <w:r w:rsidR="00B313E6" w:rsidRPr="00374C9C">
        <w:t xml:space="preserve"> as a social housing landlord</w:t>
      </w:r>
      <w:r w:rsidR="002259F7">
        <w:t>.  That is the</w:t>
      </w:r>
      <w:r w:rsidR="001A54FA">
        <w:t xml:space="preserve"> </w:t>
      </w:r>
      <w:r w:rsidR="00B03B47">
        <w:t>delivery of gas servicing repairs</w:t>
      </w:r>
      <w:r w:rsidR="00833138">
        <w:t xml:space="preserve"> and upgrades </w:t>
      </w:r>
      <w:r w:rsidR="00B03B47">
        <w:t>to 38</w:t>
      </w:r>
      <w:r w:rsidR="0090246D">
        <w:t>12</w:t>
      </w:r>
      <w:r w:rsidR="00633939">
        <w:t xml:space="preserve"> </w:t>
      </w:r>
      <w:r w:rsidR="00B03B47">
        <w:t>council housing domestic properties</w:t>
      </w:r>
      <w:r w:rsidR="00955C37">
        <w:t xml:space="preserve">, 3 general needs communal schemes, </w:t>
      </w:r>
      <w:r w:rsidR="0090246D">
        <w:t xml:space="preserve">133 general fund </w:t>
      </w:r>
      <w:r w:rsidR="00026D6E">
        <w:t>t</w:t>
      </w:r>
      <w:r w:rsidR="00694BA5">
        <w:t xml:space="preserve">emporary </w:t>
      </w:r>
      <w:r w:rsidR="00026D6E">
        <w:t>a</w:t>
      </w:r>
      <w:r w:rsidR="00694BA5">
        <w:t xml:space="preserve">ccommodation properties, </w:t>
      </w:r>
      <w:r w:rsidR="00955C37">
        <w:t xml:space="preserve">17 </w:t>
      </w:r>
      <w:r w:rsidR="00026D6E">
        <w:t>s</w:t>
      </w:r>
      <w:r w:rsidR="00955C37">
        <w:t xml:space="preserve">heltered </w:t>
      </w:r>
      <w:r w:rsidR="00026D6E">
        <w:t>h</w:t>
      </w:r>
      <w:r w:rsidR="00955C37">
        <w:t xml:space="preserve">ousing </w:t>
      </w:r>
      <w:r w:rsidR="00833138">
        <w:t>schemes and 10 community centres.</w:t>
      </w:r>
      <w:r w:rsidR="002259F7">
        <w:t xml:space="preserve"> As detailed above </w:t>
      </w:r>
      <w:r w:rsidR="005075BC">
        <w:t xml:space="preserve">the contract is flexible enough to allow the replacement of gas </w:t>
      </w:r>
      <w:r w:rsidR="00092B1F">
        <w:t xml:space="preserve">heating </w:t>
      </w:r>
      <w:r w:rsidR="005075BC">
        <w:t xml:space="preserve">with more carbon efficient technology </w:t>
      </w:r>
      <w:r w:rsidR="00A329A0">
        <w:t>or t</w:t>
      </w:r>
      <w:r w:rsidR="00092B1F">
        <w:t>ender these elements if we so wish.</w:t>
      </w:r>
      <w:r w:rsidR="00242A49">
        <w:rPr>
          <w:szCs w:val="24"/>
        </w:rPr>
        <w:t xml:space="preserve"> </w:t>
      </w:r>
    </w:p>
    <w:p w14:paraId="33662ADF" w14:textId="71878D71" w:rsidR="004063BC" w:rsidRDefault="004063BC" w:rsidP="00B32326">
      <w:pPr>
        <w:ind w:left="720" w:hanging="720"/>
        <w:jc w:val="both"/>
        <w:rPr>
          <w:szCs w:val="24"/>
        </w:rPr>
      </w:pPr>
    </w:p>
    <w:p w14:paraId="784A1F7C" w14:textId="2B1C7F54" w:rsidR="004063BC" w:rsidRDefault="004063BC" w:rsidP="00B32326">
      <w:pPr>
        <w:ind w:left="720" w:hanging="720"/>
        <w:jc w:val="both"/>
      </w:pPr>
      <w:r>
        <w:rPr>
          <w:szCs w:val="24"/>
        </w:rPr>
        <w:t>4.</w:t>
      </w:r>
      <w:r w:rsidR="00A77E87">
        <w:rPr>
          <w:szCs w:val="24"/>
        </w:rPr>
        <w:t>2</w:t>
      </w:r>
      <w:r w:rsidR="00B40B93">
        <w:rPr>
          <w:szCs w:val="24"/>
        </w:rPr>
        <w:t xml:space="preserve">    </w:t>
      </w:r>
      <w:r w:rsidR="00B40B93">
        <w:t>The contract for domestic boilers is based upon a “three</w:t>
      </w:r>
      <w:r w:rsidR="00B32326">
        <w:t>-</w:t>
      </w:r>
      <w:r w:rsidR="00B40B93">
        <w:t xml:space="preserve">star” service whereby the contractor prices to undertake all repairs </w:t>
      </w:r>
      <w:r w:rsidR="00700FB8">
        <w:t xml:space="preserve">within </w:t>
      </w:r>
      <w:r w:rsidR="00B40B93">
        <w:t xml:space="preserve">one annual price </w:t>
      </w:r>
      <w:r w:rsidR="00700FB8">
        <w:t xml:space="preserve">irrespective of </w:t>
      </w:r>
      <w:r w:rsidR="002A7BE0">
        <w:t xml:space="preserve">the </w:t>
      </w:r>
      <w:r w:rsidR="00700FB8">
        <w:t>number of call outs</w:t>
      </w:r>
      <w:r w:rsidR="00476726">
        <w:t>.</w:t>
      </w:r>
      <w:r w:rsidR="00700FB8">
        <w:t xml:space="preserve"> </w:t>
      </w:r>
      <w:r w:rsidR="00476726">
        <w:t xml:space="preserve">This </w:t>
      </w:r>
      <w:r w:rsidR="00B82F79">
        <w:t>also includes</w:t>
      </w:r>
      <w:r w:rsidR="00B40B93">
        <w:t xml:space="preserve"> the provision of the annual gas safety inspection and certification (CP12)</w:t>
      </w:r>
      <w:r w:rsidR="00700FB8">
        <w:t xml:space="preserve"> and testing </w:t>
      </w:r>
      <w:r w:rsidR="00AC2DBA">
        <w:t xml:space="preserve">of </w:t>
      </w:r>
      <w:r w:rsidR="00394252">
        <w:t>smoke alarms</w:t>
      </w:r>
      <w:r w:rsidR="00B40B93">
        <w:t xml:space="preserve">. In </w:t>
      </w:r>
      <w:r w:rsidR="00B32326">
        <w:t>addition,</w:t>
      </w:r>
      <w:r w:rsidR="00B40B93">
        <w:t xml:space="preserve"> a price is provided for the renewal of heating systems, which if installed efficiently should minimise the contractor’s ongoing liability to maintain</w:t>
      </w:r>
      <w:r w:rsidR="00B57C9B">
        <w:t xml:space="preserve"> and </w:t>
      </w:r>
      <w:r w:rsidR="00281663">
        <w:t xml:space="preserve">reduces the tendered price for </w:t>
      </w:r>
      <w:r w:rsidR="005C76BD">
        <w:t>the 3* contract</w:t>
      </w:r>
      <w:r w:rsidR="00B40B93">
        <w:t xml:space="preserve">. For </w:t>
      </w:r>
      <w:r w:rsidR="007D0DF8">
        <w:t>our communal</w:t>
      </w:r>
      <w:r w:rsidR="00B40B93">
        <w:t xml:space="preserve"> boiler installations prices are based on </w:t>
      </w:r>
      <w:r w:rsidR="00394252">
        <w:t xml:space="preserve">a </w:t>
      </w:r>
      <w:r w:rsidR="006D385B" w:rsidRPr="00B32326">
        <w:t>bi-annual servicing requirement</w:t>
      </w:r>
      <w:r w:rsidR="00B40B93" w:rsidRPr="00B32326">
        <w:t xml:space="preserve"> </w:t>
      </w:r>
      <w:r w:rsidR="00B40B93">
        <w:t xml:space="preserve">with repairs being priced on </w:t>
      </w:r>
      <w:r w:rsidR="004C2DB5">
        <w:t>labour rates and material costs</w:t>
      </w:r>
      <w:r w:rsidR="00476726">
        <w:t>.</w:t>
      </w:r>
    </w:p>
    <w:p w14:paraId="7F4D8856" w14:textId="5176A588" w:rsidR="000421F0" w:rsidRDefault="000421F0" w:rsidP="00B32326">
      <w:pPr>
        <w:ind w:left="720" w:hanging="720"/>
        <w:jc w:val="both"/>
      </w:pPr>
    </w:p>
    <w:p w14:paraId="15DE5901" w14:textId="5677BB40" w:rsidR="000421F0" w:rsidRDefault="000421F0" w:rsidP="000421F0">
      <w:pPr>
        <w:pStyle w:val="CommentText"/>
        <w:ind w:left="720" w:hanging="720"/>
        <w:jc w:val="both"/>
        <w:rPr>
          <w:rFonts w:cs="Arial"/>
          <w:sz w:val="24"/>
        </w:rPr>
      </w:pPr>
      <w:r>
        <w:rPr>
          <w:rFonts w:cs="Arial"/>
          <w:sz w:val="24"/>
        </w:rPr>
        <w:t>4.3</w:t>
      </w:r>
      <w:r>
        <w:rPr>
          <w:rFonts w:cs="Arial"/>
          <w:sz w:val="24"/>
        </w:rPr>
        <w:tab/>
        <w:t>The Table below examines the financial impact of letting the 2 contracts procured.</w:t>
      </w:r>
    </w:p>
    <w:p w14:paraId="6B278BA8" w14:textId="77777777" w:rsidR="00432B94" w:rsidRDefault="00432B94" w:rsidP="000421F0">
      <w:pPr>
        <w:pStyle w:val="CommentText"/>
        <w:ind w:left="720" w:hanging="720"/>
        <w:jc w:val="both"/>
        <w:rPr>
          <w:rFonts w:cs="Arial"/>
          <w:sz w:val="24"/>
        </w:rPr>
      </w:pPr>
      <w:r>
        <w:rPr>
          <w:rFonts w:cs="Arial"/>
          <w:sz w:val="24"/>
        </w:rPr>
        <w:tab/>
      </w:r>
    </w:p>
    <w:tbl>
      <w:tblPr>
        <w:tblStyle w:val="TableGrid"/>
        <w:tblW w:w="0" w:type="auto"/>
        <w:tblInd w:w="720" w:type="dxa"/>
        <w:tblLook w:val="04A0" w:firstRow="1" w:lastRow="0" w:firstColumn="1" w:lastColumn="0" w:noHBand="0" w:noVBand="1"/>
      </w:tblPr>
      <w:tblGrid>
        <w:gridCol w:w="1519"/>
        <w:gridCol w:w="1128"/>
        <w:gridCol w:w="2029"/>
        <w:gridCol w:w="1266"/>
        <w:gridCol w:w="1637"/>
      </w:tblGrid>
      <w:tr w:rsidR="00933A00" w14:paraId="74BF8C0B" w14:textId="77777777" w:rsidTr="003B0123">
        <w:tc>
          <w:tcPr>
            <w:tcW w:w="2962" w:type="dxa"/>
          </w:tcPr>
          <w:p w14:paraId="1083D0BF" w14:textId="77777777" w:rsidR="00933A00" w:rsidRDefault="00933A00" w:rsidP="00933A00">
            <w:pPr>
              <w:pStyle w:val="CommentText"/>
              <w:jc w:val="both"/>
              <w:rPr>
                <w:rFonts w:cs="Arial"/>
                <w:sz w:val="24"/>
              </w:rPr>
            </w:pPr>
          </w:p>
        </w:tc>
        <w:tc>
          <w:tcPr>
            <w:tcW w:w="1638" w:type="dxa"/>
          </w:tcPr>
          <w:p w14:paraId="2BEBD8E6" w14:textId="336D6621" w:rsidR="00933A00" w:rsidRPr="00933A00" w:rsidRDefault="00933A00" w:rsidP="00933A00">
            <w:pPr>
              <w:pStyle w:val="CommentText"/>
              <w:jc w:val="both"/>
              <w:rPr>
                <w:b/>
                <w:bCs/>
              </w:rPr>
            </w:pPr>
            <w:r w:rsidRPr="00933A00">
              <w:rPr>
                <w:b/>
                <w:bCs/>
              </w:rPr>
              <w:t xml:space="preserve">Annual Cost </w:t>
            </w:r>
          </w:p>
        </w:tc>
        <w:tc>
          <w:tcPr>
            <w:tcW w:w="5457" w:type="dxa"/>
            <w:gridSpan w:val="3"/>
          </w:tcPr>
          <w:p w14:paraId="1C86A6F3" w14:textId="06F3C4C7" w:rsidR="00933A00" w:rsidRPr="00933A00" w:rsidRDefault="00933A00" w:rsidP="00933A00">
            <w:pPr>
              <w:pStyle w:val="CommentText"/>
              <w:jc w:val="center"/>
              <w:rPr>
                <w:b/>
                <w:bCs/>
              </w:rPr>
            </w:pPr>
            <w:r w:rsidRPr="00933A00">
              <w:rPr>
                <w:b/>
                <w:bCs/>
              </w:rPr>
              <w:t>Funded By</w:t>
            </w:r>
          </w:p>
        </w:tc>
      </w:tr>
      <w:tr w:rsidR="00933A00" w14:paraId="3705CAE3" w14:textId="77777777" w:rsidTr="003B0123">
        <w:tc>
          <w:tcPr>
            <w:tcW w:w="2962" w:type="dxa"/>
          </w:tcPr>
          <w:p w14:paraId="6CE02B08" w14:textId="77777777" w:rsidR="00933A00" w:rsidRDefault="00933A00" w:rsidP="00933A00">
            <w:pPr>
              <w:pStyle w:val="CommentText"/>
              <w:jc w:val="both"/>
              <w:rPr>
                <w:rFonts w:cs="Arial"/>
                <w:sz w:val="24"/>
              </w:rPr>
            </w:pPr>
          </w:p>
        </w:tc>
        <w:tc>
          <w:tcPr>
            <w:tcW w:w="1638" w:type="dxa"/>
          </w:tcPr>
          <w:p w14:paraId="6EDFB40F" w14:textId="1D4D92A6" w:rsidR="00933A00" w:rsidRPr="00933A00" w:rsidRDefault="00933A00" w:rsidP="00933A00">
            <w:pPr>
              <w:pStyle w:val="CommentText"/>
              <w:jc w:val="both"/>
              <w:rPr>
                <w:rFonts w:cs="Arial"/>
                <w:b/>
                <w:bCs/>
                <w:sz w:val="24"/>
              </w:rPr>
            </w:pPr>
            <w:r w:rsidRPr="00933A00">
              <w:rPr>
                <w:b/>
                <w:bCs/>
              </w:rPr>
              <w:t>Estimated Annual Contract Costs</w:t>
            </w:r>
          </w:p>
        </w:tc>
        <w:tc>
          <w:tcPr>
            <w:tcW w:w="2115" w:type="dxa"/>
          </w:tcPr>
          <w:p w14:paraId="170BA1DB" w14:textId="2815019C" w:rsidR="00933A00" w:rsidRPr="00933A00" w:rsidRDefault="00933A00" w:rsidP="00933A00">
            <w:pPr>
              <w:pStyle w:val="CommentText"/>
              <w:jc w:val="both"/>
              <w:rPr>
                <w:rFonts w:cs="Arial"/>
                <w:b/>
                <w:bCs/>
                <w:sz w:val="24"/>
              </w:rPr>
            </w:pPr>
            <w:r w:rsidRPr="00933A00">
              <w:rPr>
                <w:b/>
                <w:bCs/>
              </w:rPr>
              <w:t>Existing HRA Revenue Budgets/Reserves**</w:t>
            </w:r>
          </w:p>
        </w:tc>
        <w:tc>
          <w:tcPr>
            <w:tcW w:w="1638" w:type="dxa"/>
          </w:tcPr>
          <w:p w14:paraId="344D1285" w14:textId="4528DBB8" w:rsidR="00933A00" w:rsidRPr="00933A00" w:rsidRDefault="00933A00" w:rsidP="00933A00">
            <w:pPr>
              <w:pStyle w:val="CommentText"/>
              <w:jc w:val="both"/>
              <w:rPr>
                <w:rFonts w:cs="Arial"/>
                <w:b/>
                <w:bCs/>
                <w:sz w:val="24"/>
              </w:rPr>
            </w:pPr>
            <w:r w:rsidRPr="00933A00">
              <w:rPr>
                <w:b/>
                <w:bCs/>
              </w:rPr>
              <w:t>Existing Housing Capital programme budgets***</w:t>
            </w:r>
          </w:p>
        </w:tc>
        <w:tc>
          <w:tcPr>
            <w:tcW w:w="1704" w:type="dxa"/>
          </w:tcPr>
          <w:p w14:paraId="0BCC487E" w14:textId="4B81F3E4" w:rsidR="00933A00" w:rsidRPr="00933A00" w:rsidRDefault="00933A00" w:rsidP="00933A00">
            <w:pPr>
              <w:pStyle w:val="CommentText"/>
              <w:jc w:val="both"/>
              <w:rPr>
                <w:rFonts w:cs="Arial"/>
                <w:b/>
                <w:bCs/>
                <w:sz w:val="24"/>
              </w:rPr>
            </w:pPr>
            <w:r w:rsidRPr="00933A00">
              <w:rPr>
                <w:b/>
                <w:bCs/>
              </w:rPr>
              <w:t xml:space="preserve">Additional HRA Savings Plan/Drawdown from HRA General reserves </w:t>
            </w:r>
          </w:p>
        </w:tc>
      </w:tr>
      <w:tr w:rsidR="007B23AE" w14:paraId="1202AF76" w14:textId="77777777" w:rsidTr="003B0123">
        <w:tc>
          <w:tcPr>
            <w:tcW w:w="2962" w:type="dxa"/>
          </w:tcPr>
          <w:p w14:paraId="30EC39E0" w14:textId="77777777" w:rsidR="00933A00" w:rsidRPr="00924DE0" w:rsidRDefault="00933A00" w:rsidP="00933A00">
            <w:pPr>
              <w:pStyle w:val="CommentText"/>
              <w:jc w:val="both"/>
            </w:pPr>
          </w:p>
        </w:tc>
        <w:tc>
          <w:tcPr>
            <w:tcW w:w="1638" w:type="dxa"/>
          </w:tcPr>
          <w:p w14:paraId="717501F1" w14:textId="0B5433FC" w:rsidR="00933A00" w:rsidRPr="00924DE0" w:rsidRDefault="003B0123" w:rsidP="003B0123">
            <w:pPr>
              <w:pStyle w:val="CommentText"/>
              <w:jc w:val="center"/>
            </w:pPr>
            <w:r>
              <w:t>£</w:t>
            </w:r>
          </w:p>
        </w:tc>
        <w:tc>
          <w:tcPr>
            <w:tcW w:w="2115" w:type="dxa"/>
          </w:tcPr>
          <w:p w14:paraId="30D863E7" w14:textId="385B121B" w:rsidR="00933A00" w:rsidRPr="00924DE0" w:rsidRDefault="003B0123" w:rsidP="003B0123">
            <w:pPr>
              <w:pStyle w:val="CommentText"/>
              <w:jc w:val="center"/>
            </w:pPr>
            <w:r>
              <w:t>£</w:t>
            </w:r>
          </w:p>
        </w:tc>
        <w:tc>
          <w:tcPr>
            <w:tcW w:w="1638" w:type="dxa"/>
          </w:tcPr>
          <w:p w14:paraId="787D5760" w14:textId="18D25B32" w:rsidR="00933A00" w:rsidRPr="00924DE0" w:rsidRDefault="003B0123" w:rsidP="003B0123">
            <w:pPr>
              <w:pStyle w:val="CommentText"/>
              <w:jc w:val="center"/>
            </w:pPr>
            <w:r>
              <w:t>£</w:t>
            </w:r>
          </w:p>
        </w:tc>
        <w:tc>
          <w:tcPr>
            <w:tcW w:w="1704" w:type="dxa"/>
          </w:tcPr>
          <w:p w14:paraId="7B8E027F" w14:textId="59014848" w:rsidR="00933A00" w:rsidRPr="00924DE0" w:rsidRDefault="003B0123" w:rsidP="003B0123">
            <w:pPr>
              <w:pStyle w:val="CommentText"/>
              <w:jc w:val="center"/>
            </w:pPr>
            <w:r>
              <w:t>£</w:t>
            </w:r>
          </w:p>
        </w:tc>
      </w:tr>
      <w:tr w:rsidR="00933A00" w14:paraId="0B736FD0" w14:textId="77777777" w:rsidTr="003B0123">
        <w:tc>
          <w:tcPr>
            <w:tcW w:w="2962" w:type="dxa"/>
          </w:tcPr>
          <w:p w14:paraId="74453A62" w14:textId="25F948D7" w:rsidR="00933A00" w:rsidRDefault="00933A00" w:rsidP="00933A00">
            <w:pPr>
              <w:pStyle w:val="CommentText"/>
              <w:jc w:val="both"/>
              <w:rPr>
                <w:rFonts w:cs="Arial"/>
                <w:sz w:val="24"/>
              </w:rPr>
            </w:pPr>
            <w:r w:rsidRPr="00924DE0">
              <w:t>Domestic 3* Gas servicing &amp; Maintenance Contract</w:t>
            </w:r>
          </w:p>
        </w:tc>
        <w:tc>
          <w:tcPr>
            <w:tcW w:w="1638" w:type="dxa"/>
          </w:tcPr>
          <w:p w14:paraId="1EDDAC3A" w14:textId="676C23C3" w:rsidR="00933A00" w:rsidRDefault="00933A00" w:rsidP="00933A00">
            <w:pPr>
              <w:pStyle w:val="CommentText"/>
              <w:jc w:val="right"/>
              <w:rPr>
                <w:rFonts w:cs="Arial"/>
                <w:sz w:val="24"/>
              </w:rPr>
            </w:pPr>
            <w:r w:rsidRPr="00924DE0">
              <w:t>640,786</w:t>
            </w:r>
          </w:p>
        </w:tc>
        <w:tc>
          <w:tcPr>
            <w:tcW w:w="2115" w:type="dxa"/>
          </w:tcPr>
          <w:p w14:paraId="3924F2D4" w14:textId="3AA4F0DE" w:rsidR="00933A00" w:rsidRDefault="00933A00" w:rsidP="00933A00">
            <w:pPr>
              <w:pStyle w:val="CommentText"/>
              <w:jc w:val="right"/>
              <w:rPr>
                <w:rFonts w:cs="Arial"/>
                <w:sz w:val="24"/>
              </w:rPr>
            </w:pPr>
            <w:r w:rsidRPr="00924DE0">
              <w:t>446,688</w:t>
            </w:r>
          </w:p>
        </w:tc>
        <w:tc>
          <w:tcPr>
            <w:tcW w:w="1638" w:type="dxa"/>
          </w:tcPr>
          <w:p w14:paraId="59848CF9" w14:textId="64B9463E" w:rsidR="00933A00" w:rsidRDefault="00933A00" w:rsidP="00933A00">
            <w:pPr>
              <w:pStyle w:val="CommentText"/>
              <w:jc w:val="right"/>
              <w:rPr>
                <w:rFonts w:cs="Arial"/>
                <w:sz w:val="24"/>
              </w:rPr>
            </w:pPr>
            <w:r w:rsidRPr="00924DE0">
              <w:t>178,388</w:t>
            </w:r>
          </w:p>
        </w:tc>
        <w:tc>
          <w:tcPr>
            <w:tcW w:w="1704" w:type="dxa"/>
          </w:tcPr>
          <w:p w14:paraId="4D21241E" w14:textId="32C8B14F" w:rsidR="00933A00" w:rsidRDefault="00933A00" w:rsidP="00933A00">
            <w:pPr>
              <w:pStyle w:val="CommentText"/>
              <w:jc w:val="right"/>
              <w:rPr>
                <w:rFonts w:cs="Arial"/>
                <w:sz w:val="24"/>
              </w:rPr>
            </w:pPr>
            <w:r w:rsidRPr="00924DE0">
              <w:t>15,710</w:t>
            </w:r>
          </w:p>
        </w:tc>
      </w:tr>
      <w:tr w:rsidR="00933A00" w14:paraId="62F5FD09" w14:textId="77777777" w:rsidTr="003B0123">
        <w:tc>
          <w:tcPr>
            <w:tcW w:w="2962" w:type="dxa"/>
          </w:tcPr>
          <w:p w14:paraId="66953B07" w14:textId="5D3AEA48" w:rsidR="00933A00" w:rsidRDefault="00933A00" w:rsidP="00933A00">
            <w:pPr>
              <w:pStyle w:val="CommentText"/>
              <w:jc w:val="both"/>
              <w:rPr>
                <w:rFonts w:cs="Arial"/>
                <w:sz w:val="24"/>
              </w:rPr>
            </w:pPr>
            <w:r w:rsidRPr="00924DE0">
              <w:t>Additional</w:t>
            </w:r>
            <w:r>
              <w:t xml:space="preserve"> </w:t>
            </w:r>
            <w:r w:rsidRPr="00924DE0">
              <w:t>Domestic</w:t>
            </w:r>
            <w:r>
              <w:t xml:space="preserve"> </w:t>
            </w:r>
            <w:r w:rsidRPr="00924DE0">
              <w:t xml:space="preserve">Gas repairs </w:t>
            </w:r>
          </w:p>
        </w:tc>
        <w:tc>
          <w:tcPr>
            <w:tcW w:w="1638" w:type="dxa"/>
          </w:tcPr>
          <w:p w14:paraId="06066BCA" w14:textId="3559F5BD" w:rsidR="00933A00" w:rsidRDefault="00933A00" w:rsidP="00933A00">
            <w:pPr>
              <w:pStyle w:val="CommentText"/>
              <w:jc w:val="right"/>
              <w:rPr>
                <w:rFonts w:cs="Arial"/>
                <w:sz w:val="24"/>
              </w:rPr>
            </w:pPr>
            <w:r w:rsidRPr="00924DE0">
              <w:t>88,836</w:t>
            </w:r>
          </w:p>
        </w:tc>
        <w:tc>
          <w:tcPr>
            <w:tcW w:w="2115" w:type="dxa"/>
          </w:tcPr>
          <w:p w14:paraId="3F61DB9B" w14:textId="57352328" w:rsidR="00933A00" w:rsidRDefault="00933A00" w:rsidP="00933A00">
            <w:pPr>
              <w:pStyle w:val="CommentText"/>
              <w:jc w:val="right"/>
              <w:rPr>
                <w:rFonts w:cs="Arial"/>
                <w:sz w:val="24"/>
              </w:rPr>
            </w:pPr>
            <w:r w:rsidRPr="00924DE0">
              <w:t>77,000</w:t>
            </w:r>
          </w:p>
        </w:tc>
        <w:tc>
          <w:tcPr>
            <w:tcW w:w="1638" w:type="dxa"/>
          </w:tcPr>
          <w:p w14:paraId="28329E21" w14:textId="0FE2B73E" w:rsidR="00933A00" w:rsidRPr="003B0123" w:rsidRDefault="003B0123" w:rsidP="00933A00">
            <w:pPr>
              <w:pStyle w:val="CommentText"/>
              <w:jc w:val="right"/>
              <w:rPr>
                <w:rFonts w:cs="Arial"/>
              </w:rPr>
            </w:pPr>
            <w:r w:rsidRPr="003B0123">
              <w:rPr>
                <w:rFonts w:cs="Arial"/>
              </w:rPr>
              <w:t>0</w:t>
            </w:r>
          </w:p>
        </w:tc>
        <w:tc>
          <w:tcPr>
            <w:tcW w:w="1704" w:type="dxa"/>
          </w:tcPr>
          <w:p w14:paraId="38E92324" w14:textId="2C92AB05" w:rsidR="00933A00" w:rsidRDefault="00933A00" w:rsidP="00933A00">
            <w:pPr>
              <w:pStyle w:val="CommentText"/>
              <w:jc w:val="right"/>
              <w:rPr>
                <w:rFonts w:cs="Arial"/>
                <w:sz w:val="24"/>
              </w:rPr>
            </w:pPr>
            <w:r w:rsidRPr="00924DE0">
              <w:t>11,836</w:t>
            </w:r>
          </w:p>
        </w:tc>
      </w:tr>
      <w:tr w:rsidR="003B0123" w14:paraId="61714ADE" w14:textId="77777777" w:rsidTr="003B0123">
        <w:tc>
          <w:tcPr>
            <w:tcW w:w="2962" w:type="dxa"/>
          </w:tcPr>
          <w:p w14:paraId="11F91DC3" w14:textId="10177C55" w:rsidR="003B0123" w:rsidRDefault="00CD56A4" w:rsidP="003B0123">
            <w:pPr>
              <w:pStyle w:val="CommentText"/>
              <w:jc w:val="both"/>
              <w:rPr>
                <w:rFonts w:cs="Arial"/>
                <w:sz w:val="24"/>
              </w:rPr>
            </w:pPr>
            <w:r w:rsidRPr="00924DE0">
              <w:t>Comm</w:t>
            </w:r>
            <w:r>
              <w:t xml:space="preserve">unal </w:t>
            </w:r>
            <w:r w:rsidR="003B0123" w:rsidRPr="00924DE0">
              <w:t xml:space="preserve">Gas servicing contract </w:t>
            </w:r>
          </w:p>
        </w:tc>
        <w:tc>
          <w:tcPr>
            <w:tcW w:w="1638" w:type="dxa"/>
          </w:tcPr>
          <w:p w14:paraId="1CF76D00" w14:textId="4F1FE31E" w:rsidR="003B0123" w:rsidRDefault="003B0123" w:rsidP="003B0123">
            <w:pPr>
              <w:pStyle w:val="CommentText"/>
              <w:jc w:val="right"/>
              <w:rPr>
                <w:rFonts w:cs="Arial"/>
                <w:sz w:val="24"/>
              </w:rPr>
            </w:pPr>
            <w:r w:rsidRPr="00924DE0">
              <w:t>11,312</w:t>
            </w:r>
          </w:p>
        </w:tc>
        <w:tc>
          <w:tcPr>
            <w:tcW w:w="2115" w:type="dxa"/>
          </w:tcPr>
          <w:p w14:paraId="5B1D6474" w14:textId="1558DB48" w:rsidR="003B0123" w:rsidRDefault="003B0123" w:rsidP="003B0123">
            <w:pPr>
              <w:pStyle w:val="CommentText"/>
              <w:jc w:val="right"/>
              <w:rPr>
                <w:rFonts w:cs="Arial"/>
                <w:sz w:val="24"/>
              </w:rPr>
            </w:pPr>
            <w:r w:rsidRPr="00924DE0">
              <w:t>11,312</w:t>
            </w:r>
          </w:p>
        </w:tc>
        <w:tc>
          <w:tcPr>
            <w:tcW w:w="1638" w:type="dxa"/>
          </w:tcPr>
          <w:p w14:paraId="11A38C9C" w14:textId="5E4E43A0" w:rsidR="003B0123" w:rsidRDefault="003B0123" w:rsidP="003B0123">
            <w:pPr>
              <w:pStyle w:val="CommentText"/>
              <w:jc w:val="right"/>
              <w:rPr>
                <w:rFonts w:cs="Arial"/>
                <w:sz w:val="24"/>
              </w:rPr>
            </w:pPr>
            <w:r w:rsidRPr="006E7915">
              <w:t>0</w:t>
            </w:r>
          </w:p>
        </w:tc>
        <w:tc>
          <w:tcPr>
            <w:tcW w:w="1704" w:type="dxa"/>
          </w:tcPr>
          <w:p w14:paraId="4A5607AD" w14:textId="0CE1036B" w:rsidR="003B0123" w:rsidRDefault="003B0123" w:rsidP="003B0123">
            <w:pPr>
              <w:pStyle w:val="CommentText"/>
              <w:jc w:val="right"/>
              <w:rPr>
                <w:rFonts w:cs="Arial"/>
                <w:sz w:val="24"/>
              </w:rPr>
            </w:pPr>
            <w:r w:rsidRPr="00924DE0">
              <w:t>0</w:t>
            </w:r>
          </w:p>
        </w:tc>
      </w:tr>
      <w:tr w:rsidR="003B0123" w14:paraId="3252B474" w14:textId="77777777" w:rsidTr="003B0123">
        <w:tc>
          <w:tcPr>
            <w:tcW w:w="2962" w:type="dxa"/>
          </w:tcPr>
          <w:p w14:paraId="52520A61" w14:textId="700978FB" w:rsidR="003B0123" w:rsidRDefault="003B0123" w:rsidP="003B0123">
            <w:pPr>
              <w:pStyle w:val="CommentText"/>
              <w:jc w:val="both"/>
              <w:rPr>
                <w:rFonts w:cs="Arial"/>
                <w:sz w:val="24"/>
              </w:rPr>
            </w:pPr>
            <w:r w:rsidRPr="00924DE0">
              <w:t xml:space="preserve">Additional </w:t>
            </w:r>
            <w:r w:rsidR="00CD56A4" w:rsidRPr="00924DE0">
              <w:t>Comm</w:t>
            </w:r>
            <w:r w:rsidR="00CD56A4">
              <w:t xml:space="preserve">unal </w:t>
            </w:r>
            <w:r w:rsidRPr="00924DE0">
              <w:t>Gas Repairs</w:t>
            </w:r>
          </w:p>
        </w:tc>
        <w:tc>
          <w:tcPr>
            <w:tcW w:w="1638" w:type="dxa"/>
          </w:tcPr>
          <w:p w14:paraId="3064FC03" w14:textId="33E43185" w:rsidR="003B0123" w:rsidRDefault="003B0123" w:rsidP="003B0123">
            <w:pPr>
              <w:pStyle w:val="CommentText"/>
              <w:jc w:val="right"/>
              <w:rPr>
                <w:rFonts w:cs="Arial"/>
                <w:sz w:val="24"/>
              </w:rPr>
            </w:pPr>
            <w:r w:rsidRPr="00924DE0">
              <w:t>137,466</w:t>
            </w:r>
          </w:p>
        </w:tc>
        <w:tc>
          <w:tcPr>
            <w:tcW w:w="2115" w:type="dxa"/>
          </w:tcPr>
          <w:p w14:paraId="2D24D196" w14:textId="544C81D3" w:rsidR="003B0123" w:rsidRDefault="003B0123" w:rsidP="003B0123">
            <w:pPr>
              <w:pStyle w:val="CommentText"/>
              <w:jc w:val="right"/>
              <w:rPr>
                <w:rFonts w:cs="Arial"/>
                <w:sz w:val="24"/>
              </w:rPr>
            </w:pPr>
            <w:r w:rsidRPr="00924DE0">
              <w:t>65,000</w:t>
            </w:r>
          </w:p>
        </w:tc>
        <w:tc>
          <w:tcPr>
            <w:tcW w:w="1638" w:type="dxa"/>
          </w:tcPr>
          <w:p w14:paraId="788940CE" w14:textId="7B8528F0" w:rsidR="003B0123" w:rsidRDefault="003B0123" w:rsidP="003B0123">
            <w:pPr>
              <w:pStyle w:val="CommentText"/>
              <w:jc w:val="right"/>
              <w:rPr>
                <w:rFonts w:cs="Arial"/>
                <w:sz w:val="24"/>
              </w:rPr>
            </w:pPr>
            <w:r w:rsidRPr="006E7915">
              <w:t>0</w:t>
            </w:r>
          </w:p>
        </w:tc>
        <w:tc>
          <w:tcPr>
            <w:tcW w:w="1704" w:type="dxa"/>
          </w:tcPr>
          <w:p w14:paraId="44880C75" w14:textId="161D5292" w:rsidR="003B0123" w:rsidRDefault="003B0123" w:rsidP="003B0123">
            <w:pPr>
              <w:pStyle w:val="CommentText"/>
              <w:jc w:val="right"/>
              <w:rPr>
                <w:rFonts w:cs="Arial"/>
                <w:sz w:val="24"/>
              </w:rPr>
            </w:pPr>
            <w:r w:rsidRPr="00924DE0">
              <w:t>72,466</w:t>
            </w:r>
          </w:p>
        </w:tc>
      </w:tr>
      <w:tr w:rsidR="003B0123" w14:paraId="5D940A73" w14:textId="77777777" w:rsidTr="003B0123">
        <w:tc>
          <w:tcPr>
            <w:tcW w:w="2962" w:type="dxa"/>
          </w:tcPr>
          <w:p w14:paraId="29E198B7" w14:textId="7DF5797C" w:rsidR="003B0123" w:rsidRDefault="003B0123" w:rsidP="003B0123">
            <w:pPr>
              <w:pStyle w:val="CommentText"/>
              <w:jc w:val="both"/>
              <w:rPr>
                <w:rFonts w:cs="Arial"/>
                <w:sz w:val="24"/>
              </w:rPr>
            </w:pPr>
            <w:r w:rsidRPr="00924DE0">
              <w:t>Community Centre/General Fund budgets</w:t>
            </w:r>
          </w:p>
        </w:tc>
        <w:tc>
          <w:tcPr>
            <w:tcW w:w="1638" w:type="dxa"/>
          </w:tcPr>
          <w:p w14:paraId="4EAC5E66" w14:textId="51AEF1F0" w:rsidR="003B0123" w:rsidRPr="003B0123" w:rsidRDefault="003B0123" w:rsidP="003B0123">
            <w:pPr>
              <w:pStyle w:val="CommentText"/>
              <w:jc w:val="right"/>
              <w:rPr>
                <w:rFonts w:cs="Arial"/>
              </w:rPr>
            </w:pPr>
            <w:r w:rsidRPr="003B0123">
              <w:rPr>
                <w:rFonts w:cs="Arial"/>
              </w:rPr>
              <w:t>0</w:t>
            </w:r>
          </w:p>
        </w:tc>
        <w:tc>
          <w:tcPr>
            <w:tcW w:w="2115" w:type="dxa"/>
          </w:tcPr>
          <w:p w14:paraId="45AE588E" w14:textId="4D429111" w:rsidR="003B0123" w:rsidRDefault="003B0123" w:rsidP="003B0123">
            <w:pPr>
              <w:pStyle w:val="CommentText"/>
              <w:jc w:val="right"/>
              <w:rPr>
                <w:rFonts w:cs="Arial"/>
                <w:sz w:val="24"/>
              </w:rPr>
            </w:pPr>
            <w:r w:rsidRPr="00924DE0">
              <w:t>25,000</w:t>
            </w:r>
          </w:p>
        </w:tc>
        <w:tc>
          <w:tcPr>
            <w:tcW w:w="1638" w:type="dxa"/>
          </w:tcPr>
          <w:p w14:paraId="4C880FD5" w14:textId="3E807AE5" w:rsidR="003B0123" w:rsidRDefault="003B0123" w:rsidP="003B0123">
            <w:pPr>
              <w:pStyle w:val="CommentText"/>
              <w:jc w:val="right"/>
              <w:rPr>
                <w:rFonts w:cs="Arial"/>
                <w:sz w:val="24"/>
              </w:rPr>
            </w:pPr>
            <w:r w:rsidRPr="006E7915">
              <w:t>0</w:t>
            </w:r>
          </w:p>
        </w:tc>
        <w:tc>
          <w:tcPr>
            <w:tcW w:w="1704" w:type="dxa"/>
          </w:tcPr>
          <w:p w14:paraId="1AD44CD3" w14:textId="0B500CFC" w:rsidR="003B0123" w:rsidRPr="003B0123" w:rsidRDefault="003B0123" w:rsidP="003B0123">
            <w:pPr>
              <w:pStyle w:val="CommentText"/>
              <w:jc w:val="right"/>
              <w:rPr>
                <w:rFonts w:cs="Arial"/>
              </w:rPr>
            </w:pPr>
            <w:r w:rsidRPr="003B0123">
              <w:rPr>
                <w:rFonts w:cs="Arial"/>
              </w:rPr>
              <w:t>0</w:t>
            </w:r>
          </w:p>
        </w:tc>
      </w:tr>
      <w:tr w:rsidR="00933A00" w14:paraId="408BB3B9" w14:textId="77777777" w:rsidTr="003B0123">
        <w:tc>
          <w:tcPr>
            <w:tcW w:w="2962" w:type="dxa"/>
          </w:tcPr>
          <w:p w14:paraId="1361C8C7" w14:textId="0DC41F4E" w:rsidR="00933A00" w:rsidRDefault="00933A00" w:rsidP="00933A00">
            <w:pPr>
              <w:pStyle w:val="CommentText"/>
              <w:jc w:val="both"/>
              <w:rPr>
                <w:rFonts w:cs="Arial"/>
                <w:sz w:val="24"/>
              </w:rPr>
            </w:pPr>
            <w:r w:rsidRPr="00924DE0">
              <w:t>contract mobilisation</w:t>
            </w:r>
          </w:p>
        </w:tc>
        <w:tc>
          <w:tcPr>
            <w:tcW w:w="1638" w:type="dxa"/>
          </w:tcPr>
          <w:p w14:paraId="29603C75" w14:textId="77777777" w:rsidR="00933A00" w:rsidRDefault="00933A00" w:rsidP="00933A00">
            <w:pPr>
              <w:pStyle w:val="CommentText"/>
              <w:jc w:val="right"/>
              <w:rPr>
                <w:rFonts w:cs="Arial"/>
                <w:sz w:val="24"/>
              </w:rPr>
            </w:pPr>
          </w:p>
        </w:tc>
        <w:tc>
          <w:tcPr>
            <w:tcW w:w="2115" w:type="dxa"/>
          </w:tcPr>
          <w:p w14:paraId="6BFC16E3" w14:textId="77777777" w:rsidR="00933A00" w:rsidRDefault="00933A00" w:rsidP="00933A00">
            <w:pPr>
              <w:pStyle w:val="CommentText"/>
              <w:jc w:val="right"/>
              <w:rPr>
                <w:rFonts w:cs="Arial"/>
                <w:sz w:val="24"/>
              </w:rPr>
            </w:pPr>
          </w:p>
        </w:tc>
        <w:tc>
          <w:tcPr>
            <w:tcW w:w="1638" w:type="dxa"/>
          </w:tcPr>
          <w:p w14:paraId="4107001F" w14:textId="77777777" w:rsidR="00933A00" w:rsidRDefault="00933A00" w:rsidP="00933A00">
            <w:pPr>
              <w:pStyle w:val="CommentText"/>
              <w:jc w:val="right"/>
              <w:rPr>
                <w:rFonts w:cs="Arial"/>
                <w:sz w:val="24"/>
              </w:rPr>
            </w:pPr>
          </w:p>
        </w:tc>
        <w:tc>
          <w:tcPr>
            <w:tcW w:w="1704" w:type="dxa"/>
          </w:tcPr>
          <w:p w14:paraId="449C7044" w14:textId="37F1BCEB" w:rsidR="00933A00" w:rsidRDefault="00933A00" w:rsidP="00933A00">
            <w:pPr>
              <w:pStyle w:val="CommentText"/>
              <w:jc w:val="right"/>
              <w:rPr>
                <w:rFonts w:cs="Arial"/>
                <w:sz w:val="24"/>
              </w:rPr>
            </w:pPr>
            <w:r w:rsidRPr="00924DE0">
              <w:t>0</w:t>
            </w:r>
          </w:p>
        </w:tc>
      </w:tr>
      <w:tr w:rsidR="00933A00" w14:paraId="5B8B84B7" w14:textId="77777777" w:rsidTr="003B0123">
        <w:tc>
          <w:tcPr>
            <w:tcW w:w="2962" w:type="dxa"/>
          </w:tcPr>
          <w:p w14:paraId="727B50AB" w14:textId="4FE94515" w:rsidR="00933A00" w:rsidRPr="00933A00" w:rsidRDefault="00933A00" w:rsidP="00933A00">
            <w:pPr>
              <w:pStyle w:val="CommentText"/>
              <w:jc w:val="both"/>
              <w:rPr>
                <w:rFonts w:cs="Arial"/>
                <w:b/>
                <w:bCs/>
                <w:sz w:val="24"/>
              </w:rPr>
            </w:pPr>
            <w:r w:rsidRPr="00933A00">
              <w:rPr>
                <w:b/>
                <w:bCs/>
              </w:rPr>
              <w:t>Total contract costs</w:t>
            </w:r>
          </w:p>
        </w:tc>
        <w:tc>
          <w:tcPr>
            <w:tcW w:w="1638" w:type="dxa"/>
          </w:tcPr>
          <w:p w14:paraId="7FD29558" w14:textId="430C1BEF" w:rsidR="00933A00" w:rsidRPr="00933A00" w:rsidRDefault="00933A00" w:rsidP="00933A00">
            <w:pPr>
              <w:pStyle w:val="CommentText"/>
              <w:jc w:val="right"/>
              <w:rPr>
                <w:rFonts w:cs="Arial"/>
                <w:b/>
                <w:bCs/>
                <w:sz w:val="24"/>
              </w:rPr>
            </w:pPr>
            <w:r w:rsidRPr="00933A00">
              <w:rPr>
                <w:b/>
                <w:bCs/>
              </w:rPr>
              <w:t>878,400</w:t>
            </w:r>
          </w:p>
        </w:tc>
        <w:tc>
          <w:tcPr>
            <w:tcW w:w="2115" w:type="dxa"/>
          </w:tcPr>
          <w:p w14:paraId="4CB86075" w14:textId="4298697B" w:rsidR="00933A00" w:rsidRPr="00933A00" w:rsidRDefault="00933A00" w:rsidP="00933A00">
            <w:pPr>
              <w:pStyle w:val="CommentText"/>
              <w:jc w:val="right"/>
              <w:rPr>
                <w:rFonts w:cs="Arial"/>
                <w:b/>
                <w:bCs/>
                <w:sz w:val="24"/>
              </w:rPr>
            </w:pPr>
            <w:r w:rsidRPr="00933A00">
              <w:rPr>
                <w:b/>
                <w:bCs/>
              </w:rPr>
              <w:t>625,000</w:t>
            </w:r>
          </w:p>
        </w:tc>
        <w:tc>
          <w:tcPr>
            <w:tcW w:w="1638" w:type="dxa"/>
          </w:tcPr>
          <w:p w14:paraId="58593C59" w14:textId="6C135C5D" w:rsidR="00933A00" w:rsidRPr="00933A00" w:rsidRDefault="00933A00" w:rsidP="00933A00">
            <w:pPr>
              <w:pStyle w:val="CommentText"/>
              <w:jc w:val="right"/>
              <w:rPr>
                <w:rFonts w:cs="Arial"/>
                <w:b/>
                <w:bCs/>
                <w:sz w:val="24"/>
              </w:rPr>
            </w:pPr>
            <w:r w:rsidRPr="00933A00">
              <w:rPr>
                <w:b/>
                <w:bCs/>
              </w:rPr>
              <w:t>178,388</w:t>
            </w:r>
          </w:p>
        </w:tc>
        <w:tc>
          <w:tcPr>
            <w:tcW w:w="1704" w:type="dxa"/>
          </w:tcPr>
          <w:p w14:paraId="726D05FC" w14:textId="3DCB3CF8" w:rsidR="00933A00" w:rsidRPr="00933A00" w:rsidRDefault="00933A00" w:rsidP="00933A00">
            <w:pPr>
              <w:pStyle w:val="CommentText"/>
              <w:jc w:val="right"/>
              <w:rPr>
                <w:rFonts w:cs="Arial"/>
                <w:b/>
                <w:bCs/>
                <w:sz w:val="24"/>
              </w:rPr>
            </w:pPr>
            <w:r w:rsidRPr="00933A00">
              <w:rPr>
                <w:b/>
                <w:bCs/>
              </w:rPr>
              <w:t>75,012</w:t>
            </w:r>
          </w:p>
        </w:tc>
      </w:tr>
      <w:tr w:rsidR="00933A00" w14:paraId="3223F0AA" w14:textId="77777777" w:rsidTr="003B0123">
        <w:tc>
          <w:tcPr>
            <w:tcW w:w="2962" w:type="dxa"/>
          </w:tcPr>
          <w:p w14:paraId="126F372D" w14:textId="77777777" w:rsidR="00933A00" w:rsidRDefault="00933A00" w:rsidP="00933A00">
            <w:pPr>
              <w:pStyle w:val="CommentText"/>
              <w:jc w:val="both"/>
              <w:rPr>
                <w:rFonts w:cs="Arial"/>
                <w:sz w:val="24"/>
              </w:rPr>
            </w:pPr>
          </w:p>
        </w:tc>
        <w:tc>
          <w:tcPr>
            <w:tcW w:w="1638" w:type="dxa"/>
          </w:tcPr>
          <w:p w14:paraId="4FA472E4" w14:textId="77777777" w:rsidR="00933A00" w:rsidRDefault="00933A00" w:rsidP="00933A00">
            <w:pPr>
              <w:pStyle w:val="CommentText"/>
              <w:jc w:val="right"/>
              <w:rPr>
                <w:rFonts w:cs="Arial"/>
                <w:sz w:val="24"/>
              </w:rPr>
            </w:pPr>
          </w:p>
        </w:tc>
        <w:tc>
          <w:tcPr>
            <w:tcW w:w="2115" w:type="dxa"/>
          </w:tcPr>
          <w:p w14:paraId="72D881D9" w14:textId="77777777" w:rsidR="00933A00" w:rsidRDefault="00933A00" w:rsidP="00933A00">
            <w:pPr>
              <w:pStyle w:val="CommentText"/>
              <w:jc w:val="right"/>
              <w:rPr>
                <w:rFonts w:cs="Arial"/>
                <w:sz w:val="24"/>
              </w:rPr>
            </w:pPr>
          </w:p>
        </w:tc>
        <w:tc>
          <w:tcPr>
            <w:tcW w:w="1638" w:type="dxa"/>
          </w:tcPr>
          <w:p w14:paraId="76FA46AF" w14:textId="77777777" w:rsidR="00933A00" w:rsidRDefault="00933A00" w:rsidP="00933A00">
            <w:pPr>
              <w:pStyle w:val="CommentText"/>
              <w:jc w:val="right"/>
              <w:rPr>
                <w:rFonts w:cs="Arial"/>
                <w:sz w:val="24"/>
              </w:rPr>
            </w:pPr>
          </w:p>
        </w:tc>
        <w:tc>
          <w:tcPr>
            <w:tcW w:w="1704" w:type="dxa"/>
          </w:tcPr>
          <w:p w14:paraId="7A76944B" w14:textId="77777777" w:rsidR="00933A00" w:rsidRDefault="00933A00" w:rsidP="00933A00">
            <w:pPr>
              <w:pStyle w:val="CommentText"/>
              <w:jc w:val="right"/>
              <w:rPr>
                <w:rFonts w:cs="Arial"/>
                <w:sz w:val="24"/>
              </w:rPr>
            </w:pPr>
          </w:p>
        </w:tc>
      </w:tr>
      <w:tr w:rsidR="00933A00" w14:paraId="4D81BCDC" w14:textId="77777777" w:rsidTr="003B0123">
        <w:tc>
          <w:tcPr>
            <w:tcW w:w="2962" w:type="dxa"/>
          </w:tcPr>
          <w:p w14:paraId="27D4877F" w14:textId="38EEC033" w:rsidR="00933A00" w:rsidRDefault="00933A00" w:rsidP="00933A00">
            <w:pPr>
              <w:pStyle w:val="CommentText"/>
              <w:jc w:val="both"/>
              <w:rPr>
                <w:rFonts w:cs="Arial"/>
                <w:sz w:val="24"/>
              </w:rPr>
            </w:pPr>
            <w:r w:rsidRPr="00924DE0">
              <w:t>Total funding over 6 years</w:t>
            </w:r>
          </w:p>
        </w:tc>
        <w:tc>
          <w:tcPr>
            <w:tcW w:w="1638" w:type="dxa"/>
          </w:tcPr>
          <w:p w14:paraId="1F5ECF88" w14:textId="0CE6E3F0" w:rsidR="00933A00" w:rsidRPr="003B0123" w:rsidRDefault="003B0123" w:rsidP="00933A00">
            <w:pPr>
              <w:pStyle w:val="CommentText"/>
              <w:jc w:val="right"/>
              <w:rPr>
                <w:rFonts w:cs="Arial"/>
              </w:rPr>
            </w:pPr>
            <w:r w:rsidRPr="003B0123">
              <w:rPr>
                <w:rFonts w:cs="Arial"/>
              </w:rPr>
              <w:t>0</w:t>
            </w:r>
          </w:p>
        </w:tc>
        <w:tc>
          <w:tcPr>
            <w:tcW w:w="2115" w:type="dxa"/>
          </w:tcPr>
          <w:p w14:paraId="134C5752" w14:textId="3A5030A8" w:rsidR="00933A00" w:rsidRDefault="00933A00" w:rsidP="00933A00">
            <w:pPr>
              <w:pStyle w:val="CommentText"/>
              <w:jc w:val="right"/>
              <w:rPr>
                <w:rFonts w:cs="Arial"/>
                <w:sz w:val="24"/>
              </w:rPr>
            </w:pPr>
            <w:r w:rsidRPr="00924DE0">
              <w:t>3,750,000</w:t>
            </w:r>
          </w:p>
        </w:tc>
        <w:tc>
          <w:tcPr>
            <w:tcW w:w="1638" w:type="dxa"/>
          </w:tcPr>
          <w:p w14:paraId="72BEA021" w14:textId="3167657D" w:rsidR="00933A00" w:rsidRDefault="00933A00" w:rsidP="00933A00">
            <w:pPr>
              <w:pStyle w:val="CommentText"/>
              <w:jc w:val="right"/>
              <w:rPr>
                <w:rFonts w:cs="Arial"/>
                <w:sz w:val="24"/>
              </w:rPr>
            </w:pPr>
            <w:r w:rsidRPr="00924DE0">
              <w:t>1,070,328</w:t>
            </w:r>
          </w:p>
        </w:tc>
        <w:tc>
          <w:tcPr>
            <w:tcW w:w="1704" w:type="dxa"/>
          </w:tcPr>
          <w:p w14:paraId="16120CCC" w14:textId="66AD38AF" w:rsidR="00933A00" w:rsidRDefault="00933A00" w:rsidP="00933A00">
            <w:pPr>
              <w:pStyle w:val="CommentText"/>
              <w:jc w:val="right"/>
              <w:rPr>
                <w:rFonts w:cs="Arial"/>
                <w:sz w:val="24"/>
              </w:rPr>
            </w:pPr>
            <w:r w:rsidRPr="00924DE0">
              <w:t>450,072</w:t>
            </w:r>
          </w:p>
        </w:tc>
      </w:tr>
      <w:tr w:rsidR="00933A00" w14:paraId="0D34E81F" w14:textId="77777777" w:rsidTr="003B0123">
        <w:tc>
          <w:tcPr>
            <w:tcW w:w="2962" w:type="dxa"/>
          </w:tcPr>
          <w:p w14:paraId="05371A18" w14:textId="5563F4E3" w:rsidR="00933A00" w:rsidRPr="00933A00" w:rsidRDefault="007B23AE" w:rsidP="00933A00">
            <w:pPr>
              <w:pStyle w:val="CommentText"/>
              <w:jc w:val="both"/>
              <w:rPr>
                <w:rFonts w:cs="Arial"/>
                <w:b/>
                <w:bCs/>
                <w:sz w:val="24"/>
              </w:rPr>
            </w:pPr>
            <w:r>
              <w:rPr>
                <w:b/>
                <w:bCs/>
              </w:rPr>
              <w:t>*</w:t>
            </w:r>
            <w:r w:rsidR="00933A00" w:rsidRPr="00933A00">
              <w:rPr>
                <w:b/>
                <w:bCs/>
              </w:rPr>
              <w:t>Part year effect of new contracts</w:t>
            </w:r>
          </w:p>
        </w:tc>
        <w:tc>
          <w:tcPr>
            <w:tcW w:w="1638" w:type="dxa"/>
          </w:tcPr>
          <w:p w14:paraId="2DF0B9DA" w14:textId="12B516EB" w:rsidR="00933A00" w:rsidRPr="00933A00" w:rsidRDefault="00933A00" w:rsidP="00933A00">
            <w:pPr>
              <w:pStyle w:val="CommentText"/>
              <w:jc w:val="right"/>
              <w:rPr>
                <w:rFonts w:cs="Arial"/>
                <w:b/>
                <w:bCs/>
                <w:sz w:val="24"/>
              </w:rPr>
            </w:pPr>
            <w:r w:rsidRPr="00933A00">
              <w:rPr>
                <w:b/>
                <w:bCs/>
              </w:rPr>
              <w:t>10,367</w:t>
            </w:r>
          </w:p>
        </w:tc>
        <w:tc>
          <w:tcPr>
            <w:tcW w:w="2115" w:type="dxa"/>
          </w:tcPr>
          <w:p w14:paraId="07169D57" w14:textId="483CE626" w:rsidR="00933A00" w:rsidRPr="00933A00" w:rsidRDefault="00933A00" w:rsidP="00933A00">
            <w:pPr>
              <w:pStyle w:val="CommentText"/>
              <w:jc w:val="right"/>
              <w:rPr>
                <w:rFonts w:cs="Arial"/>
                <w:b/>
                <w:bCs/>
                <w:sz w:val="24"/>
              </w:rPr>
            </w:pPr>
            <w:r w:rsidRPr="00933A00">
              <w:rPr>
                <w:b/>
                <w:bCs/>
              </w:rPr>
              <w:t>625,000</w:t>
            </w:r>
          </w:p>
        </w:tc>
        <w:tc>
          <w:tcPr>
            <w:tcW w:w="1638" w:type="dxa"/>
          </w:tcPr>
          <w:p w14:paraId="099ECE7A" w14:textId="63562328" w:rsidR="00933A00" w:rsidRPr="00933A00" w:rsidRDefault="00933A00" w:rsidP="00933A00">
            <w:pPr>
              <w:pStyle w:val="CommentText"/>
              <w:jc w:val="right"/>
              <w:rPr>
                <w:rFonts w:cs="Arial"/>
                <w:b/>
                <w:bCs/>
                <w:sz w:val="24"/>
              </w:rPr>
            </w:pPr>
            <w:r w:rsidRPr="00933A00">
              <w:rPr>
                <w:b/>
                <w:bCs/>
              </w:rPr>
              <w:t>178,388</w:t>
            </w:r>
          </w:p>
        </w:tc>
        <w:tc>
          <w:tcPr>
            <w:tcW w:w="1704" w:type="dxa"/>
          </w:tcPr>
          <w:p w14:paraId="2C63D6D1" w14:textId="7A8FB030" w:rsidR="00933A00" w:rsidRPr="00933A00" w:rsidRDefault="00933A00" w:rsidP="00933A00">
            <w:pPr>
              <w:pStyle w:val="CommentText"/>
              <w:jc w:val="right"/>
              <w:rPr>
                <w:rFonts w:cs="Arial"/>
                <w:b/>
                <w:bCs/>
                <w:sz w:val="24"/>
              </w:rPr>
            </w:pPr>
            <w:r w:rsidRPr="00933A00">
              <w:rPr>
                <w:b/>
                <w:bCs/>
              </w:rPr>
              <w:t>10,367</w:t>
            </w:r>
          </w:p>
        </w:tc>
      </w:tr>
      <w:tr w:rsidR="00933A00" w14:paraId="02F8AFFF" w14:textId="77777777" w:rsidTr="003B0123">
        <w:tc>
          <w:tcPr>
            <w:tcW w:w="2962" w:type="dxa"/>
          </w:tcPr>
          <w:p w14:paraId="41B998B8" w14:textId="75670889" w:rsidR="00933A00" w:rsidRDefault="00933A00" w:rsidP="00933A00">
            <w:pPr>
              <w:pStyle w:val="CommentText"/>
              <w:jc w:val="both"/>
              <w:rPr>
                <w:rFonts w:cs="Arial"/>
                <w:sz w:val="24"/>
              </w:rPr>
            </w:pPr>
            <w:r w:rsidRPr="00924DE0">
              <w:t xml:space="preserve">*One Off costs </w:t>
            </w:r>
          </w:p>
        </w:tc>
        <w:tc>
          <w:tcPr>
            <w:tcW w:w="1638" w:type="dxa"/>
          </w:tcPr>
          <w:p w14:paraId="0824B22C" w14:textId="77777777" w:rsidR="00933A00" w:rsidRDefault="00933A00" w:rsidP="00933A00">
            <w:pPr>
              <w:pStyle w:val="CommentText"/>
              <w:jc w:val="right"/>
              <w:rPr>
                <w:rFonts w:cs="Arial"/>
                <w:sz w:val="24"/>
              </w:rPr>
            </w:pPr>
          </w:p>
        </w:tc>
        <w:tc>
          <w:tcPr>
            <w:tcW w:w="2115" w:type="dxa"/>
          </w:tcPr>
          <w:p w14:paraId="02D407F9" w14:textId="77777777" w:rsidR="00933A00" w:rsidRDefault="00933A00" w:rsidP="00933A00">
            <w:pPr>
              <w:pStyle w:val="CommentText"/>
              <w:jc w:val="right"/>
              <w:rPr>
                <w:rFonts w:cs="Arial"/>
                <w:sz w:val="24"/>
              </w:rPr>
            </w:pPr>
          </w:p>
        </w:tc>
        <w:tc>
          <w:tcPr>
            <w:tcW w:w="1638" w:type="dxa"/>
          </w:tcPr>
          <w:p w14:paraId="1B428199" w14:textId="77777777" w:rsidR="00933A00" w:rsidRDefault="00933A00" w:rsidP="00933A00">
            <w:pPr>
              <w:pStyle w:val="CommentText"/>
              <w:jc w:val="right"/>
              <w:rPr>
                <w:rFonts w:cs="Arial"/>
                <w:sz w:val="24"/>
              </w:rPr>
            </w:pPr>
          </w:p>
        </w:tc>
        <w:tc>
          <w:tcPr>
            <w:tcW w:w="1704" w:type="dxa"/>
          </w:tcPr>
          <w:p w14:paraId="61728F84" w14:textId="77777777" w:rsidR="00933A00" w:rsidRDefault="00933A00" w:rsidP="00933A00">
            <w:pPr>
              <w:pStyle w:val="CommentText"/>
              <w:jc w:val="right"/>
              <w:rPr>
                <w:rFonts w:cs="Arial"/>
                <w:sz w:val="24"/>
              </w:rPr>
            </w:pPr>
          </w:p>
        </w:tc>
      </w:tr>
      <w:tr w:rsidR="00933A00" w14:paraId="7B690641" w14:textId="77777777" w:rsidTr="003B0123">
        <w:tc>
          <w:tcPr>
            <w:tcW w:w="2962" w:type="dxa"/>
          </w:tcPr>
          <w:p w14:paraId="1984727A" w14:textId="77830EDB" w:rsidR="00933A00" w:rsidRDefault="00933A00" w:rsidP="00933A00">
            <w:pPr>
              <w:pStyle w:val="CommentText"/>
              <w:jc w:val="both"/>
              <w:rPr>
                <w:rFonts w:cs="Arial"/>
                <w:sz w:val="24"/>
              </w:rPr>
            </w:pPr>
            <w:r w:rsidRPr="00924DE0">
              <w:t>mobilisation costs</w:t>
            </w:r>
          </w:p>
        </w:tc>
        <w:tc>
          <w:tcPr>
            <w:tcW w:w="1638" w:type="dxa"/>
          </w:tcPr>
          <w:p w14:paraId="09286594" w14:textId="26DB7958" w:rsidR="00933A00" w:rsidRDefault="00933A00" w:rsidP="00933A00">
            <w:pPr>
              <w:pStyle w:val="CommentText"/>
              <w:jc w:val="right"/>
              <w:rPr>
                <w:rFonts w:cs="Arial"/>
                <w:sz w:val="24"/>
              </w:rPr>
            </w:pPr>
            <w:r w:rsidRPr="00924DE0">
              <w:t>35,000</w:t>
            </w:r>
          </w:p>
        </w:tc>
        <w:tc>
          <w:tcPr>
            <w:tcW w:w="2115" w:type="dxa"/>
          </w:tcPr>
          <w:p w14:paraId="6DCD8C2B" w14:textId="4CCAEFBF" w:rsidR="00933A00" w:rsidRDefault="00933A00" w:rsidP="00933A00">
            <w:pPr>
              <w:pStyle w:val="CommentText"/>
              <w:jc w:val="right"/>
              <w:rPr>
                <w:rFonts w:cs="Arial"/>
                <w:sz w:val="24"/>
              </w:rPr>
            </w:pPr>
            <w:r w:rsidRPr="00924DE0">
              <w:t>35,000</w:t>
            </w:r>
          </w:p>
        </w:tc>
        <w:tc>
          <w:tcPr>
            <w:tcW w:w="1638" w:type="dxa"/>
          </w:tcPr>
          <w:p w14:paraId="018750AD" w14:textId="205C56DE" w:rsidR="00933A00" w:rsidRDefault="00933A00" w:rsidP="00933A00">
            <w:pPr>
              <w:pStyle w:val="CommentText"/>
              <w:jc w:val="right"/>
              <w:rPr>
                <w:rFonts w:cs="Arial"/>
                <w:sz w:val="24"/>
              </w:rPr>
            </w:pPr>
            <w:r w:rsidRPr="00924DE0">
              <w:t>0</w:t>
            </w:r>
          </w:p>
        </w:tc>
        <w:tc>
          <w:tcPr>
            <w:tcW w:w="1704" w:type="dxa"/>
          </w:tcPr>
          <w:p w14:paraId="3F2EA47C" w14:textId="117D4C62" w:rsidR="00933A00" w:rsidRDefault="00933A00" w:rsidP="00933A00">
            <w:pPr>
              <w:pStyle w:val="CommentText"/>
              <w:jc w:val="right"/>
              <w:rPr>
                <w:rFonts w:cs="Arial"/>
                <w:sz w:val="24"/>
              </w:rPr>
            </w:pPr>
            <w:r w:rsidRPr="00924DE0">
              <w:t>0</w:t>
            </w:r>
          </w:p>
        </w:tc>
      </w:tr>
      <w:tr w:rsidR="00933A00" w14:paraId="571F840C" w14:textId="77777777" w:rsidTr="003B0123">
        <w:tc>
          <w:tcPr>
            <w:tcW w:w="2962" w:type="dxa"/>
          </w:tcPr>
          <w:p w14:paraId="0721F5C9" w14:textId="61CB3988" w:rsidR="00933A00" w:rsidRDefault="00933A00" w:rsidP="00933A00">
            <w:pPr>
              <w:pStyle w:val="CommentText"/>
              <w:jc w:val="both"/>
              <w:rPr>
                <w:rFonts w:cs="Arial"/>
                <w:sz w:val="24"/>
              </w:rPr>
            </w:pPr>
          </w:p>
        </w:tc>
        <w:tc>
          <w:tcPr>
            <w:tcW w:w="1638" w:type="dxa"/>
          </w:tcPr>
          <w:p w14:paraId="3CDED166" w14:textId="4AE8D89F" w:rsidR="00933A00" w:rsidRDefault="00933A00" w:rsidP="00933A00">
            <w:pPr>
              <w:pStyle w:val="CommentText"/>
              <w:jc w:val="right"/>
              <w:rPr>
                <w:rFonts w:cs="Arial"/>
                <w:sz w:val="24"/>
              </w:rPr>
            </w:pPr>
          </w:p>
        </w:tc>
        <w:tc>
          <w:tcPr>
            <w:tcW w:w="2115" w:type="dxa"/>
          </w:tcPr>
          <w:p w14:paraId="4B14046E" w14:textId="00B56B7A" w:rsidR="00933A00" w:rsidRDefault="00933A00" w:rsidP="00933A00">
            <w:pPr>
              <w:pStyle w:val="CommentText"/>
              <w:jc w:val="right"/>
              <w:rPr>
                <w:rFonts w:cs="Arial"/>
                <w:sz w:val="24"/>
              </w:rPr>
            </w:pPr>
          </w:p>
        </w:tc>
        <w:tc>
          <w:tcPr>
            <w:tcW w:w="1638" w:type="dxa"/>
          </w:tcPr>
          <w:p w14:paraId="59FAC9A6" w14:textId="528984B8" w:rsidR="00933A00" w:rsidRDefault="00933A00" w:rsidP="00933A00">
            <w:pPr>
              <w:pStyle w:val="CommentText"/>
              <w:jc w:val="right"/>
              <w:rPr>
                <w:rFonts w:cs="Arial"/>
                <w:sz w:val="24"/>
              </w:rPr>
            </w:pPr>
          </w:p>
        </w:tc>
        <w:tc>
          <w:tcPr>
            <w:tcW w:w="1704" w:type="dxa"/>
          </w:tcPr>
          <w:p w14:paraId="0516CF68" w14:textId="79DDF193" w:rsidR="00933A00" w:rsidRDefault="00933A00" w:rsidP="00933A00">
            <w:pPr>
              <w:pStyle w:val="CommentText"/>
              <w:jc w:val="right"/>
              <w:rPr>
                <w:rFonts w:cs="Arial"/>
                <w:sz w:val="24"/>
              </w:rPr>
            </w:pPr>
          </w:p>
        </w:tc>
      </w:tr>
      <w:tr w:rsidR="00933A00" w14:paraId="0E0C12C6" w14:textId="77777777" w:rsidTr="003B0123">
        <w:tc>
          <w:tcPr>
            <w:tcW w:w="10057" w:type="dxa"/>
            <w:gridSpan w:val="5"/>
          </w:tcPr>
          <w:p w14:paraId="1692852F" w14:textId="1281E897" w:rsidR="00933A00" w:rsidRPr="00933A00" w:rsidRDefault="00933A00" w:rsidP="00933A00">
            <w:pPr>
              <w:pStyle w:val="CommentText"/>
              <w:rPr>
                <w:rFonts w:cs="Arial"/>
              </w:rPr>
            </w:pPr>
            <w:r w:rsidRPr="00933A00">
              <w:rPr>
                <w:rFonts w:cs="Arial"/>
              </w:rPr>
              <w:t xml:space="preserve">*The part year impact of £10,367 will be contained within in existing HRA R&amp;M provisions in 2021/22. The £35,000 one of cost for mobilisation of the contract will be met from the R&amp;M Reserve which was set up in anticipation of such expenditure.  </w:t>
            </w:r>
            <w:r w:rsidRPr="00933A00">
              <w:rPr>
                <w:rFonts w:cs="Arial"/>
              </w:rPr>
              <w:tab/>
            </w:r>
            <w:r w:rsidRPr="00933A00">
              <w:rPr>
                <w:rFonts w:cs="Arial"/>
              </w:rPr>
              <w:tab/>
            </w:r>
            <w:r w:rsidRPr="00933A00">
              <w:rPr>
                <w:rFonts w:cs="Arial"/>
              </w:rPr>
              <w:tab/>
            </w:r>
            <w:r w:rsidRPr="00933A00">
              <w:rPr>
                <w:rFonts w:cs="Arial"/>
              </w:rPr>
              <w:tab/>
            </w:r>
          </w:p>
        </w:tc>
      </w:tr>
      <w:tr w:rsidR="00933A00" w14:paraId="1F7DB521" w14:textId="77777777" w:rsidTr="003B0123">
        <w:tc>
          <w:tcPr>
            <w:tcW w:w="10057" w:type="dxa"/>
            <w:gridSpan w:val="5"/>
          </w:tcPr>
          <w:p w14:paraId="404E8629" w14:textId="258F6FF8" w:rsidR="00933A00" w:rsidRPr="007B23AE" w:rsidRDefault="00933A00" w:rsidP="007B23AE">
            <w:pPr>
              <w:pStyle w:val="CommentText"/>
              <w:rPr>
                <w:rFonts w:cs="Arial"/>
              </w:rPr>
            </w:pPr>
            <w:r w:rsidRPr="007B23AE">
              <w:rPr>
                <w:rFonts w:cs="Arial"/>
              </w:rPr>
              <w:t>**This includes an adjustment to existing budgets to include a virement of £23,688 from commercial gas servicing to Domestic gas servicing</w:t>
            </w:r>
            <w:r w:rsidRPr="007B23AE">
              <w:rPr>
                <w:rFonts w:cs="Arial"/>
              </w:rPr>
              <w:tab/>
            </w:r>
            <w:r w:rsidRPr="007B23AE">
              <w:rPr>
                <w:rFonts w:cs="Arial"/>
              </w:rPr>
              <w:tab/>
            </w:r>
            <w:r w:rsidRPr="007B23AE">
              <w:rPr>
                <w:rFonts w:cs="Arial"/>
              </w:rPr>
              <w:tab/>
            </w:r>
            <w:r w:rsidRPr="007B23AE">
              <w:rPr>
                <w:rFonts w:cs="Arial"/>
              </w:rPr>
              <w:tab/>
            </w:r>
          </w:p>
        </w:tc>
      </w:tr>
      <w:tr w:rsidR="007B23AE" w14:paraId="4FD234B3" w14:textId="77777777" w:rsidTr="003B0123">
        <w:tc>
          <w:tcPr>
            <w:tcW w:w="10057" w:type="dxa"/>
            <w:gridSpan w:val="5"/>
          </w:tcPr>
          <w:p w14:paraId="51A8B26F" w14:textId="1D82DB5E" w:rsidR="007B23AE" w:rsidRPr="007B23AE" w:rsidRDefault="007B23AE" w:rsidP="007B23AE">
            <w:pPr>
              <w:pStyle w:val="CommentText"/>
              <w:rPr>
                <w:rFonts w:cs="Arial"/>
              </w:rPr>
            </w:pPr>
            <w:r w:rsidRPr="007B23AE">
              <w:rPr>
                <w:rFonts w:cs="Arial"/>
              </w:rPr>
              <w:t>*** This includes an assumption that the HRA capital Programme budget will  be utilised to provide sufficient capital funding for the gas contract to deliver replacement boilers. Currently a min allocation of £180,000 from unallocated budgets has been assumed ( A maximum of £300,000 can be achieved budget permitting)</w:t>
            </w:r>
            <w:r w:rsidRPr="007B23AE">
              <w:rPr>
                <w:rFonts w:cs="Arial"/>
              </w:rPr>
              <w:tab/>
            </w:r>
            <w:r w:rsidRPr="007B23AE">
              <w:rPr>
                <w:rFonts w:cs="Arial"/>
              </w:rPr>
              <w:tab/>
            </w:r>
            <w:r w:rsidRPr="007B23AE">
              <w:rPr>
                <w:rFonts w:cs="Arial"/>
              </w:rPr>
              <w:tab/>
            </w:r>
            <w:r w:rsidRPr="007B23AE">
              <w:rPr>
                <w:rFonts w:cs="Arial"/>
              </w:rPr>
              <w:tab/>
            </w:r>
          </w:p>
        </w:tc>
      </w:tr>
    </w:tbl>
    <w:p w14:paraId="0E094BB1" w14:textId="42FFD1FC" w:rsidR="000421F0" w:rsidRDefault="000421F0" w:rsidP="000421F0">
      <w:pPr>
        <w:pStyle w:val="CommentText"/>
        <w:ind w:left="720" w:hanging="720"/>
        <w:jc w:val="both"/>
        <w:rPr>
          <w:rFonts w:cs="Arial"/>
          <w:sz w:val="24"/>
        </w:rPr>
      </w:pPr>
    </w:p>
    <w:p w14:paraId="1DEE5122" w14:textId="21932C51" w:rsidR="001B33D4" w:rsidRDefault="000421F0" w:rsidP="001B33D4">
      <w:pPr>
        <w:pStyle w:val="CommentText"/>
        <w:ind w:left="720" w:hanging="720"/>
        <w:jc w:val="both"/>
        <w:rPr>
          <w:sz w:val="24"/>
          <w:szCs w:val="24"/>
        </w:rPr>
      </w:pPr>
      <w:r w:rsidRPr="004873F4">
        <w:rPr>
          <w:sz w:val="24"/>
          <w:szCs w:val="24"/>
        </w:rPr>
        <w:t>4.4</w:t>
      </w:r>
      <w:r>
        <w:tab/>
      </w:r>
      <w:r w:rsidRPr="00E10D43">
        <w:rPr>
          <w:sz w:val="24"/>
          <w:szCs w:val="24"/>
        </w:rPr>
        <w:t xml:space="preserve">As the contracts are expected to commence in February 2022, the table above shows there will be a part-year effect associated with the costs and funding of the new procurements during 2021/22. It has been assumed that the contract costs will be incurred on a pro-rata basis with the exception of the one-off mobilisation costs which will be wholly </w:t>
      </w:r>
      <w:r w:rsidRPr="00E10D43">
        <w:rPr>
          <w:sz w:val="24"/>
          <w:szCs w:val="24"/>
        </w:rPr>
        <w:lastRenderedPageBreak/>
        <w:t>incurred within 2021/</w:t>
      </w:r>
      <w:r w:rsidR="00846CDB" w:rsidRPr="00E10D43">
        <w:rPr>
          <w:sz w:val="24"/>
          <w:szCs w:val="24"/>
        </w:rPr>
        <w:t>22.</w:t>
      </w:r>
      <w:r w:rsidRPr="00E10D43">
        <w:rPr>
          <w:sz w:val="24"/>
          <w:szCs w:val="24"/>
        </w:rPr>
        <w:t xml:space="preserve"> </w:t>
      </w:r>
      <w:r w:rsidRPr="00055008">
        <w:rPr>
          <w:sz w:val="24"/>
          <w:szCs w:val="24"/>
        </w:rPr>
        <w:t>An initial part-year saving of £10,367 will be required in this financial year</w:t>
      </w:r>
      <w:r w:rsidR="006003F1" w:rsidRPr="00055008">
        <w:rPr>
          <w:sz w:val="24"/>
          <w:szCs w:val="24"/>
        </w:rPr>
        <w:t>.</w:t>
      </w:r>
    </w:p>
    <w:p w14:paraId="77D7D5DB" w14:textId="77777777" w:rsidR="001B33D4" w:rsidRDefault="001B33D4" w:rsidP="001B33D4">
      <w:pPr>
        <w:pStyle w:val="CommentText"/>
        <w:ind w:left="720" w:hanging="720"/>
        <w:jc w:val="both"/>
        <w:rPr>
          <w:sz w:val="24"/>
          <w:szCs w:val="24"/>
        </w:rPr>
      </w:pPr>
    </w:p>
    <w:p w14:paraId="077F696F" w14:textId="26A679D1" w:rsidR="00900F9A" w:rsidRPr="00633939" w:rsidRDefault="001B33D4" w:rsidP="001B33D4">
      <w:pPr>
        <w:pStyle w:val="CommentText"/>
        <w:ind w:left="720" w:hanging="720"/>
        <w:jc w:val="both"/>
        <w:rPr>
          <w:strike/>
          <w:sz w:val="24"/>
          <w:szCs w:val="24"/>
        </w:rPr>
      </w:pPr>
      <w:r>
        <w:rPr>
          <w:sz w:val="24"/>
          <w:szCs w:val="24"/>
        </w:rPr>
        <w:t>4.5</w:t>
      </w:r>
      <w:r>
        <w:rPr>
          <w:sz w:val="24"/>
          <w:szCs w:val="24"/>
        </w:rPr>
        <w:tab/>
      </w:r>
      <w:bookmarkStart w:id="1" w:name="_Hlk87011832"/>
      <w:r w:rsidR="000421F0" w:rsidRPr="00E10D43">
        <w:rPr>
          <w:sz w:val="24"/>
          <w:szCs w:val="24"/>
        </w:rPr>
        <w:t>The table above highlights</w:t>
      </w:r>
      <w:r w:rsidR="00677D30">
        <w:rPr>
          <w:sz w:val="24"/>
          <w:szCs w:val="24"/>
        </w:rPr>
        <w:t xml:space="preserve"> a requirement of </w:t>
      </w:r>
      <w:r w:rsidR="007B23AE">
        <w:rPr>
          <w:sz w:val="24"/>
          <w:szCs w:val="24"/>
        </w:rPr>
        <w:t xml:space="preserve">annual savings </w:t>
      </w:r>
      <w:r w:rsidR="000421F0" w:rsidRPr="00E10D43">
        <w:rPr>
          <w:sz w:val="24"/>
          <w:szCs w:val="24"/>
        </w:rPr>
        <w:t xml:space="preserve">of </w:t>
      </w:r>
      <w:r w:rsidR="007B23AE">
        <w:rPr>
          <w:sz w:val="24"/>
          <w:szCs w:val="24"/>
        </w:rPr>
        <w:t xml:space="preserve">£75,012 to fund the </w:t>
      </w:r>
      <w:r w:rsidR="00026D6E">
        <w:rPr>
          <w:sz w:val="24"/>
          <w:szCs w:val="24"/>
        </w:rPr>
        <w:t>shortfall of budgets</w:t>
      </w:r>
      <w:r w:rsidR="000421F0" w:rsidRPr="00E10D43">
        <w:rPr>
          <w:sz w:val="24"/>
          <w:szCs w:val="24"/>
        </w:rPr>
        <w:t xml:space="preserve">.  However, as explained in paragraph 2.4 above this does not </w:t>
      </w:r>
      <w:r w:rsidR="001E30AF" w:rsidRPr="00E10D43">
        <w:rPr>
          <w:sz w:val="24"/>
          <w:szCs w:val="24"/>
        </w:rPr>
        <w:t>consider</w:t>
      </w:r>
      <w:r w:rsidR="000421F0" w:rsidRPr="00E10D43">
        <w:rPr>
          <w:sz w:val="24"/>
          <w:szCs w:val="24"/>
        </w:rPr>
        <w:t xml:space="preserve"> our move to carbon reduction technology.  This has already begun and the pace of switching to alternative technologies will increase substantially over the years this contract covers.  This year we will begin the conversion of </w:t>
      </w:r>
      <w:r w:rsidR="005A6641">
        <w:rPr>
          <w:sz w:val="24"/>
          <w:szCs w:val="24"/>
        </w:rPr>
        <w:t>3</w:t>
      </w:r>
      <w:r w:rsidR="000421F0" w:rsidRPr="00E10D43">
        <w:rPr>
          <w:sz w:val="24"/>
          <w:szCs w:val="24"/>
        </w:rPr>
        <w:t xml:space="preserve"> Sheltered sites from communal gas to Ground Source Heat Pumps which will complete in </w:t>
      </w:r>
      <w:r w:rsidR="002C4229">
        <w:rPr>
          <w:sz w:val="24"/>
          <w:szCs w:val="24"/>
        </w:rPr>
        <w:t>20</w:t>
      </w:r>
      <w:r w:rsidR="000421F0" w:rsidRPr="00E10D43">
        <w:rPr>
          <w:sz w:val="24"/>
          <w:szCs w:val="24"/>
        </w:rPr>
        <w:t>2</w:t>
      </w:r>
      <w:r w:rsidR="005A6641">
        <w:rPr>
          <w:sz w:val="24"/>
          <w:szCs w:val="24"/>
        </w:rPr>
        <w:t>2/23</w:t>
      </w:r>
      <w:r w:rsidR="000421F0" w:rsidRPr="00E10D43">
        <w:rPr>
          <w:sz w:val="24"/>
          <w:szCs w:val="24"/>
        </w:rPr>
        <w:t xml:space="preserve">.  A further </w:t>
      </w:r>
      <w:r w:rsidR="000421F0">
        <w:rPr>
          <w:sz w:val="24"/>
          <w:szCs w:val="24"/>
        </w:rPr>
        <w:t>s</w:t>
      </w:r>
      <w:r w:rsidR="000421F0" w:rsidRPr="00E10D43">
        <w:rPr>
          <w:sz w:val="24"/>
          <w:szCs w:val="24"/>
        </w:rPr>
        <w:t xml:space="preserve">heltered site has </w:t>
      </w:r>
      <w:r w:rsidR="005A6641">
        <w:rPr>
          <w:sz w:val="24"/>
          <w:szCs w:val="24"/>
        </w:rPr>
        <w:t xml:space="preserve">also </w:t>
      </w:r>
      <w:r w:rsidR="000421F0" w:rsidRPr="00E10D43">
        <w:rPr>
          <w:sz w:val="24"/>
          <w:szCs w:val="24"/>
        </w:rPr>
        <w:t xml:space="preserve">been planned for the next financial year. </w:t>
      </w:r>
      <w:r w:rsidR="00BC542D" w:rsidRPr="00E10D43">
        <w:rPr>
          <w:sz w:val="24"/>
          <w:szCs w:val="24"/>
        </w:rPr>
        <w:t>Also,</w:t>
      </w:r>
      <w:r w:rsidR="000421F0" w:rsidRPr="00E10D43">
        <w:rPr>
          <w:sz w:val="24"/>
          <w:szCs w:val="24"/>
        </w:rPr>
        <w:t xml:space="preserve"> the stock condition highlights prioritised schemes where the capital programme will accommodate 2 per year from </w:t>
      </w:r>
      <w:r w:rsidR="002C4229">
        <w:rPr>
          <w:sz w:val="24"/>
          <w:szCs w:val="24"/>
        </w:rPr>
        <w:t>20</w:t>
      </w:r>
      <w:r w:rsidR="000421F0" w:rsidRPr="00E10D43">
        <w:rPr>
          <w:sz w:val="24"/>
          <w:szCs w:val="24"/>
        </w:rPr>
        <w:t>2</w:t>
      </w:r>
      <w:r w:rsidR="005A6641">
        <w:rPr>
          <w:sz w:val="24"/>
          <w:szCs w:val="24"/>
        </w:rPr>
        <w:t>3</w:t>
      </w:r>
      <w:r w:rsidR="000421F0" w:rsidRPr="00E10D43">
        <w:rPr>
          <w:sz w:val="24"/>
          <w:szCs w:val="24"/>
        </w:rPr>
        <w:t>/2</w:t>
      </w:r>
      <w:r w:rsidR="005A6641">
        <w:rPr>
          <w:sz w:val="24"/>
          <w:szCs w:val="24"/>
        </w:rPr>
        <w:t>4</w:t>
      </w:r>
      <w:r w:rsidR="000421F0" w:rsidRPr="00E10D43">
        <w:rPr>
          <w:sz w:val="24"/>
          <w:szCs w:val="24"/>
        </w:rPr>
        <w:t xml:space="preserve">. </w:t>
      </w:r>
      <w:bookmarkEnd w:id="1"/>
      <w:r w:rsidR="000421F0" w:rsidRPr="00E10D43">
        <w:rPr>
          <w:sz w:val="24"/>
          <w:szCs w:val="24"/>
        </w:rPr>
        <w:t xml:space="preserve"> This means by </w:t>
      </w:r>
      <w:r w:rsidR="00633939">
        <w:rPr>
          <w:sz w:val="24"/>
          <w:szCs w:val="24"/>
        </w:rPr>
        <w:t xml:space="preserve">year </w:t>
      </w:r>
      <w:r w:rsidR="00F10609">
        <w:rPr>
          <w:sz w:val="24"/>
          <w:szCs w:val="24"/>
        </w:rPr>
        <w:t xml:space="preserve">four </w:t>
      </w:r>
      <w:r w:rsidR="000421F0" w:rsidRPr="00E10D43">
        <w:rPr>
          <w:sz w:val="24"/>
          <w:szCs w:val="24"/>
        </w:rPr>
        <w:t>alone we will have converted one third of our communal boiler stock</w:t>
      </w:r>
      <w:r w:rsidR="008C4227">
        <w:rPr>
          <w:sz w:val="24"/>
          <w:szCs w:val="24"/>
        </w:rPr>
        <w:t xml:space="preserve"> to heat pumps</w:t>
      </w:r>
      <w:r w:rsidR="000421F0" w:rsidRPr="00E10D43">
        <w:rPr>
          <w:sz w:val="24"/>
          <w:szCs w:val="24"/>
        </w:rPr>
        <w:t xml:space="preserve">.  </w:t>
      </w:r>
      <w:r w:rsidR="000421F0" w:rsidRPr="00694BA5">
        <w:rPr>
          <w:sz w:val="24"/>
          <w:szCs w:val="24"/>
        </w:rPr>
        <w:t xml:space="preserve">Similarly, we will also be implementing a move away from gas on our general needs properties.  </w:t>
      </w:r>
      <w:r w:rsidR="005D3D9E">
        <w:rPr>
          <w:sz w:val="24"/>
          <w:szCs w:val="24"/>
        </w:rPr>
        <w:t>J</w:t>
      </w:r>
      <w:r w:rsidR="000421F0" w:rsidRPr="00694BA5">
        <w:rPr>
          <w:sz w:val="24"/>
          <w:szCs w:val="24"/>
        </w:rPr>
        <w:t xml:space="preserve">ust converting 400 properties over </w:t>
      </w:r>
      <w:r w:rsidR="00677D30">
        <w:rPr>
          <w:sz w:val="24"/>
          <w:szCs w:val="24"/>
        </w:rPr>
        <w:t xml:space="preserve">four </w:t>
      </w:r>
      <w:r w:rsidR="000421F0" w:rsidRPr="00694BA5">
        <w:rPr>
          <w:sz w:val="24"/>
          <w:szCs w:val="24"/>
        </w:rPr>
        <w:t xml:space="preserve">years would reduce the any budget </w:t>
      </w:r>
      <w:r w:rsidR="007B23AE">
        <w:rPr>
          <w:sz w:val="24"/>
          <w:szCs w:val="24"/>
        </w:rPr>
        <w:t xml:space="preserve">expenditure on </w:t>
      </w:r>
      <w:r w:rsidR="000421F0" w:rsidRPr="00694BA5">
        <w:rPr>
          <w:sz w:val="24"/>
          <w:szCs w:val="24"/>
        </w:rPr>
        <w:t>domestic boiler</w:t>
      </w:r>
      <w:r w:rsidR="007B23AE">
        <w:rPr>
          <w:sz w:val="24"/>
          <w:szCs w:val="24"/>
        </w:rPr>
        <w:t>s.</w:t>
      </w:r>
      <w:r w:rsidR="00026D6E">
        <w:rPr>
          <w:sz w:val="24"/>
          <w:szCs w:val="24"/>
        </w:rPr>
        <w:t xml:space="preserve"> </w:t>
      </w:r>
      <w:r w:rsidR="00026D6E" w:rsidRPr="00633939">
        <w:rPr>
          <w:sz w:val="24"/>
          <w:szCs w:val="24"/>
        </w:rPr>
        <w:t xml:space="preserve">The </w:t>
      </w:r>
      <w:r w:rsidR="00694BA5" w:rsidRPr="00633939">
        <w:rPr>
          <w:sz w:val="24"/>
          <w:szCs w:val="24"/>
        </w:rPr>
        <w:t>estimated annual cost reductions</w:t>
      </w:r>
      <w:r w:rsidR="00026D6E" w:rsidRPr="00633939">
        <w:rPr>
          <w:sz w:val="24"/>
          <w:szCs w:val="24"/>
        </w:rPr>
        <w:t xml:space="preserve"> of the move to carbon reduction </w:t>
      </w:r>
      <w:r w:rsidR="00BC542D" w:rsidRPr="00633939">
        <w:rPr>
          <w:sz w:val="24"/>
          <w:szCs w:val="24"/>
        </w:rPr>
        <w:t>technology are set</w:t>
      </w:r>
      <w:r w:rsidR="00694BA5" w:rsidRPr="00633939">
        <w:rPr>
          <w:sz w:val="24"/>
          <w:szCs w:val="24"/>
        </w:rPr>
        <w:t xml:space="preserve"> out in the table below</w:t>
      </w:r>
      <w:r w:rsidR="008C4227">
        <w:rPr>
          <w:sz w:val="24"/>
          <w:szCs w:val="24"/>
        </w:rPr>
        <w:t>:</w:t>
      </w:r>
      <w:r w:rsidR="00694BA5" w:rsidRPr="00633939">
        <w:rPr>
          <w:sz w:val="24"/>
          <w:szCs w:val="24"/>
        </w:rPr>
        <w:t xml:space="preserve"> </w:t>
      </w:r>
    </w:p>
    <w:p w14:paraId="773C288F" w14:textId="358B5426" w:rsidR="00A215F2" w:rsidRDefault="00A215F2" w:rsidP="00020476">
      <w:pPr>
        <w:pStyle w:val="CommentText"/>
        <w:jc w:val="both"/>
        <w:rPr>
          <w:sz w:val="24"/>
          <w:szCs w:val="24"/>
        </w:rPr>
      </w:pPr>
    </w:p>
    <w:tbl>
      <w:tblPr>
        <w:tblpPr w:leftFromText="180" w:rightFromText="180" w:vertAnchor="text" w:horzAnchor="margin" w:tblpXSpec="center" w:tblpY="144"/>
        <w:tblW w:w="10222" w:type="dxa"/>
        <w:tblLook w:val="04A0" w:firstRow="1" w:lastRow="0" w:firstColumn="1" w:lastColumn="0" w:noHBand="0" w:noVBand="1"/>
      </w:tblPr>
      <w:tblGrid>
        <w:gridCol w:w="2690"/>
        <w:gridCol w:w="1417"/>
        <w:gridCol w:w="1331"/>
        <w:gridCol w:w="1196"/>
        <w:gridCol w:w="1196"/>
        <w:gridCol w:w="1196"/>
        <w:gridCol w:w="1196"/>
      </w:tblGrid>
      <w:tr w:rsidR="00826028" w:rsidRPr="005431BC" w14:paraId="4752BAEF" w14:textId="77777777" w:rsidTr="00826028">
        <w:trPr>
          <w:trHeight w:val="290"/>
        </w:trPr>
        <w:tc>
          <w:tcPr>
            <w:tcW w:w="2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E5955" w14:textId="77777777" w:rsidR="00826028" w:rsidRPr="005431BC" w:rsidRDefault="00826028" w:rsidP="00826028">
            <w:pPr>
              <w:rPr>
                <w:rFonts w:ascii="Calibri" w:hAnsi="Calibri" w:cs="Calibri"/>
                <w:color w:val="000000"/>
                <w:sz w:val="22"/>
                <w:szCs w:val="22"/>
                <w:lang w:eastAsia="en-GB"/>
              </w:rPr>
            </w:pPr>
            <w:r w:rsidRPr="005431BC">
              <w:rPr>
                <w:rFonts w:ascii="Calibri" w:hAnsi="Calibri" w:cs="Calibri"/>
                <w:color w:val="000000"/>
                <w:sz w:val="22"/>
                <w:szCs w:val="22"/>
                <w:lang w:eastAsia="en-GB"/>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5601E5" w14:textId="77777777" w:rsidR="00826028" w:rsidRPr="005431BC" w:rsidRDefault="00826028" w:rsidP="00826028">
            <w:pPr>
              <w:jc w:val="center"/>
              <w:rPr>
                <w:rFonts w:ascii="Calibri" w:hAnsi="Calibri" w:cs="Calibri"/>
                <w:color w:val="000000"/>
                <w:sz w:val="22"/>
                <w:szCs w:val="22"/>
                <w:lang w:eastAsia="en-GB"/>
              </w:rPr>
            </w:pPr>
            <w:r w:rsidRPr="005431BC">
              <w:rPr>
                <w:rFonts w:ascii="Calibri" w:hAnsi="Calibri" w:cs="Calibri"/>
                <w:color w:val="000000"/>
                <w:sz w:val="22"/>
                <w:szCs w:val="22"/>
                <w:lang w:eastAsia="en-GB"/>
              </w:rPr>
              <w:t>Yr1</w:t>
            </w:r>
            <w:r>
              <w:rPr>
                <w:rFonts w:ascii="Calibri" w:hAnsi="Calibri" w:cs="Calibri"/>
                <w:color w:val="000000"/>
                <w:sz w:val="22"/>
                <w:szCs w:val="22"/>
                <w:lang w:eastAsia="en-GB"/>
              </w:rPr>
              <w:t xml:space="preserve"> 2022/2023</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2F939D3D" w14:textId="77777777" w:rsidR="00826028" w:rsidRPr="005431BC" w:rsidRDefault="00826028" w:rsidP="00826028">
            <w:pPr>
              <w:jc w:val="center"/>
              <w:rPr>
                <w:rFonts w:ascii="Calibri" w:hAnsi="Calibri" w:cs="Calibri"/>
                <w:color w:val="000000"/>
                <w:sz w:val="22"/>
                <w:szCs w:val="22"/>
                <w:lang w:eastAsia="en-GB"/>
              </w:rPr>
            </w:pPr>
            <w:r w:rsidRPr="005431BC">
              <w:rPr>
                <w:rFonts w:ascii="Calibri" w:hAnsi="Calibri" w:cs="Calibri"/>
                <w:color w:val="000000"/>
                <w:sz w:val="22"/>
                <w:szCs w:val="22"/>
                <w:lang w:eastAsia="en-GB"/>
              </w:rPr>
              <w:t>Yr2</w:t>
            </w:r>
            <w:r>
              <w:rPr>
                <w:rFonts w:ascii="Calibri" w:hAnsi="Calibri" w:cs="Calibri"/>
                <w:color w:val="000000"/>
                <w:sz w:val="22"/>
                <w:szCs w:val="22"/>
                <w:lang w:eastAsia="en-GB"/>
              </w:rPr>
              <w:t xml:space="preserve"> 2023/2024</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4D03E7FA" w14:textId="77777777" w:rsidR="00826028" w:rsidRPr="005431BC" w:rsidRDefault="00826028" w:rsidP="00826028">
            <w:pPr>
              <w:jc w:val="center"/>
              <w:rPr>
                <w:rFonts w:ascii="Calibri" w:hAnsi="Calibri" w:cs="Calibri"/>
                <w:color w:val="000000"/>
                <w:sz w:val="22"/>
                <w:szCs w:val="22"/>
                <w:lang w:eastAsia="en-GB"/>
              </w:rPr>
            </w:pPr>
            <w:r w:rsidRPr="005431BC">
              <w:rPr>
                <w:rFonts w:ascii="Calibri" w:hAnsi="Calibri" w:cs="Calibri"/>
                <w:color w:val="000000"/>
                <w:sz w:val="22"/>
                <w:szCs w:val="22"/>
                <w:lang w:eastAsia="en-GB"/>
              </w:rPr>
              <w:t>Yr3</w:t>
            </w:r>
            <w:r>
              <w:rPr>
                <w:rFonts w:ascii="Calibri" w:hAnsi="Calibri" w:cs="Calibri"/>
                <w:color w:val="000000"/>
                <w:sz w:val="22"/>
                <w:szCs w:val="22"/>
                <w:lang w:eastAsia="en-GB"/>
              </w:rPr>
              <w:t xml:space="preserve"> 2024/2025</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29E75237" w14:textId="77777777" w:rsidR="00826028" w:rsidRPr="005431BC" w:rsidRDefault="00826028" w:rsidP="00826028">
            <w:pPr>
              <w:jc w:val="center"/>
              <w:rPr>
                <w:rFonts w:ascii="Calibri" w:hAnsi="Calibri" w:cs="Calibri"/>
                <w:color w:val="000000"/>
                <w:sz w:val="22"/>
                <w:szCs w:val="22"/>
                <w:lang w:eastAsia="en-GB"/>
              </w:rPr>
            </w:pPr>
            <w:r w:rsidRPr="005431BC">
              <w:rPr>
                <w:rFonts w:ascii="Calibri" w:hAnsi="Calibri" w:cs="Calibri"/>
                <w:color w:val="000000"/>
                <w:sz w:val="22"/>
                <w:szCs w:val="22"/>
                <w:lang w:eastAsia="en-GB"/>
              </w:rPr>
              <w:t>Yr4</w:t>
            </w:r>
            <w:r>
              <w:rPr>
                <w:rFonts w:ascii="Calibri" w:hAnsi="Calibri" w:cs="Calibri"/>
                <w:color w:val="000000"/>
                <w:sz w:val="22"/>
                <w:szCs w:val="22"/>
                <w:lang w:eastAsia="en-GB"/>
              </w:rPr>
              <w:t xml:space="preserve"> 2025/2026</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2A49CD24" w14:textId="77777777" w:rsidR="00826028" w:rsidRPr="005431BC" w:rsidRDefault="00826028" w:rsidP="00826028">
            <w:pPr>
              <w:jc w:val="center"/>
              <w:rPr>
                <w:rFonts w:ascii="Calibri" w:hAnsi="Calibri" w:cs="Calibri"/>
                <w:color w:val="000000"/>
                <w:sz w:val="22"/>
                <w:szCs w:val="22"/>
                <w:lang w:eastAsia="en-GB"/>
              </w:rPr>
            </w:pPr>
            <w:r w:rsidRPr="005431BC">
              <w:rPr>
                <w:rFonts w:ascii="Calibri" w:hAnsi="Calibri" w:cs="Calibri"/>
                <w:color w:val="000000"/>
                <w:sz w:val="22"/>
                <w:szCs w:val="22"/>
                <w:lang w:eastAsia="en-GB"/>
              </w:rPr>
              <w:t>Yr5</w:t>
            </w:r>
            <w:r>
              <w:rPr>
                <w:rFonts w:ascii="Calibri" w:hAnsi="Calibri" w:cs="Calibri"/>
                <w:color w:val="000000"/>
                <w:sz w:val="22"/>
                <w:szCs w:val="22"/>
                <w:lang w:eastAsia="en-GB"/>
              </w:rPr>
              <w:t xml:space="preserve"> 2026/2027</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6C4FAAA7" w14:textId="77777777" w:rsidR="00826028" w:rsidRPr="005431BC" w:rsidRDefault="00826028" w:rsidP="00826028">
            <w:pPr>
              <w:jc w:val="center"/>
              <w:rPr>
                <w:rFonts w:ascii="Calibri" w:hAnsi="Calibri" w:cs="Calibri"/>
                <w:color w:val="000000"/>
                <w:sz w:val="22"/>
                <w:szCs w:val="22"/>
                <w:lang w:eastAsia="en-GB"/>
              </w:rPr>
            </w:pPr>
            <w:r w:rsidRPr="005431BC">
              <w:rPr>
                <w:rFonts w:ascii="Calibri" w:hAnsi="Calibri" w:cs="Calibri"/>
                <w:color w:val="000000"/>
                <w:sz w:val="22"/>
                <w:szCs w:val="22"/>
                <w:lang w:eastAsia="en-GB"/>
              </w:rPr>
              <w:t>Yr6</w:t>
            </w:r>
            <w:r>
              <w:rPr>
                <w:rFonts w:ascii="Calibri" w:hAnsi="Calibri" w:cs="Calibri"/>
                <w:color w:val="000000"/>
                <w:sz w:val="22"/>
                <w:szCs w:val="22"/>
                <w:lang w:eastAsia="en-GB"/>
              </w:rPr>
              <w:t xml:space="preserve"> 2027/2028</w:t>
            </w:r>
          </w:p>
        </w:tc>
      </w:tr>
      <w:tr w:rsidR="00826028" w:rsidRPr="005431BC" w14:paraId="6930CD43" w14:textId="77777777" w:rsidTr="00826028">
        <w:trPr>
          <w:trHeight w:val="580"/>
        </w:trPr>
        <w:tc>
          <w:tcPr>
            <w:tcW w:w="2690" w:type="dxa"/>
            <w:tcBorders>
              <w:top w:val="nil"/>
              <w:left w:val="single" w:sz="4" w:space="0" w:color="auto"/>
              <w:bottom w:val="single" w:sz="4" w:space="0" w:color="auto"/>
              <w:right w:val="single" w:sz="4" w:space="0" w:color="auto"/>
            </w:tcBorders>
            <w:shd w:val="clear" w:color="auto" w:fill="auto"/>
            <w:vAlign w:val="bottom"/>
            <w:hideMark/>
          </w:tcPr>
          <w:p w14:paraId="4BDA3CD0" w14:textId="77777777" w:rsidR="00826028" w:rsidRPr="005431BC" w:rsidRDefault="00826028" w:rsidP="00826028">
            <w:pPr>
              <w:rPr>
                <w:rFonts w:ascii="Calibri" w:hAnsi="Calibri" w:cs="Calibri"/>
                <w:color w:val="000000"/>
                <w:sz w:val="22"/>
                <w:szCs w:val="22"/>
                <w:lang w:eastAsia="en-GB"/>
              </w:rPr>
            </w:pPr>
          </w:p>
        </w:tc>
        <w:tc>
          <w:tcPr>
            <w:tcW w:w="1417" w:type="dxa"/>
            <w:tcBorders>
              <w:top w:val="nil"/>
              <w:left w:val="nil"/>
              <w:bottom w:val="single" w:sz="4" w:space="0" w:color="auto"/>
              <w:right w:val="single" w:sz="4" w:space="0" w:color="auto"/>
            </w:tcBorders>
            <w:shd w:val="clear" w:color="auto" w:fill="auto"/>
            <w:noWrap/>
            <w:vAlign w:val="bottom"/>
            <w:hideMark/>
          </w:tcPr>
          <w:p w14:paraId="0E5BD72D" w14:textId="77777777" w:rsidR="00826028" w:rsidRPr="005431BC" w:rsidRDefault="00826028" w:rsidP="00826028">
            <w:pPr>
              <w:jc w:val="center"/>
              <w:rPr>
                <w:rFonts w:ascii="Calibri" w:hAnsi="Calibri" w:cs="Calibri"/>
                <w:color w:val="000000"/>
                <w:sz w:val="22"/>
                <w:szCs w:val="22"/>
                <w:lang w:eastAsia="en-GB"/>
              </w:rPr>
            </w:pPr>
            <w:r>
              <w:rPr>
                <w:rFonts w:ascii="Calibri" w:hAnsi="Calibri" w:cs="Calibri"/>
                <w:color w:val="000000"/>
                <w:sz w:val="22"/>
                <w:szCs w:val="22"/>
                <w:lang w:eastAsia="en-GB"/>
              </w:rPr>
              <w:t>£</w:t>
            </w:r>
          </w:p>
        </w:tc>
        <w:tc>
          <w:tcPr>
            <w:tcW w:w="1331" w:type="dxa"/>
            <w:tcBorders>
              <w:top w:val="nil"/>
              <w:left w:val="nil"/>
              <w:bottom w:val="single" w:sz="4" w:space="0" w:color="auto"/>
              <w:right w:val="single" w:sz="4" w:space="0" w:color="auto"/>
            </w:tcBorders>
            <w:shd w:val="clear" w:color="auto" w:fill="auto"/>
            <w:noWrap/>
            <w:hideMark/>
          </w:tcPr>
          <w:p w14:paraId="745A8421" w14:textId="77777777" w:rsidR="00826028" w:rsidRDefault="00826028" w:rsidP="00826028">
            <w:pPr>
              <w:jc w:val="center"/>
              <w:rPr>
                <w:rFonts w:ascii="Calibri" w:hAnsi="Calibri" w:cs="Calibri"/>
                <w:color w:val="000000"/>
                <w:sz w:val="22"/>
                <w:szCs w:val="22"/>
                <w:lang w:eastAsia="en-GB"/>
              </w:rPr>
            </w:pPr>
          </w:p>
          <w:p w14:paraId="4F8BDB53" w14:textId="77777777" w:rsidR="00826028" w:rsidRPr="004871FC" w:rsidRDefault="00826028" w:rsidP="00826028">
            <w:pPr>
              <w:jc w:val="center"/>
              <w:rPr>
                <w:rFonts w:ascii="Calibri" w:hAnsi="Calibri" w:cs="Calibri"/>
                <w:color w:val="000000"/>
                <w:sz w:val="22"/>
                <w:szCs w:val="22"/>
                <w:lang w:eastAsia="en-GB"/>
              </w:rPr>
            </w:pPr>
            <w:r w:rsidRPr="004871FC">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auto" w:fill="auto"/>
            <w:noWrap/>
            <w:hideMark/>
          </w:tcPr>
          <w:p w14:paraId="4369EA60" w14:textId="77777777" w:rsidR="00826028" w:rsidRDefault="00826028" w:rsidP="00826028">
            <w:pPr>
              <w:jc w:val="center"/>
              <w:rPr>
                <w:rFonts w:ascii="Calibri" w:hAnsi="Calibri" w:cs="Calibri"/>
                <w:color w:val="000000"/>
                <w:sz w:val="22"/>
                <w:szCs w:val="22"/>
                <w:lang w:eastAsia="en-GB"/>
              </w:rPr>
            </w:pPr>
          </w:p>
          <w:p w14:paraId="51513BF1" w14:textId="77777777" w:rsidR="00826028" w:rsidRPr="004871FC" w:rsidRDefault="00826028" w:rsidP="00826028">
            <w:pPr>
              <w:jc w:val="center"/>
              <w:rPr>
                <w:rFonts w:ascii="Calibri" w:hAnsi="Calibri" w:cs="Calibri"/>
                <w:color w:val="000000"/>
                <w:sz w:val="22"/>
                <w:szCs w:val="22"/>
                <w:lang w:eastAsia="en-GB"/>
              </w:rPr>
            </w:pPr>
            <w:r w:rsidRPr="004871FC">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auto" w:fill="auto"/>
            <w:noWrap/>
            <w:hideMark/>
          </w:tcPr>
          <w:p w14:paraId="347568F0" w14:textId="77777777" w:rsidR="00826028" w:rsidRDefault="00826028" w:rsidP="00826028">
            <w:pPr>
              <w:jc w:val="center"/>
              <w:rPr>
                <w:rFonts w:ascii="Calibri" w:hAnsi="Calibri" w:cs="Calibri"/>
                <w:color w:val="000000"/>
                <w:sz w:val="22"/>
                <w:szCs w:val="22"/>
                <w:lang w:eastAsia="en-GB"/>
              </w:rPr>
            </w:pPr>
          </w:p>
          <w:p w14:paraId="1747979B" w14:textId="77777777" w:rsidR="00826028" w:rsidRPr="004871FC" w:rsidRDefault="00826028" w:rsidP="00826028">
            <w:pPr>
              <w:jc w:val="center"/>
              <w:rPr>
                <w:rFonts w:ascii="Calibri" w:hAnsi="Calibri" w:cs="Calibri"/>
                <w:color w:val="000000"/>
                <w:sz w:val="22"/>
                <w:szCs w:val="22"/>
                <w:lang w:eastAsia="en-GB"/>
              </w:rPr>
            </w:pPr>
            <w:r w:rsidRPr="004871FC">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auto" w:fill="auto"/>
            <w:noWrap/>
            <w:hideMark/>
          </w:tcPr>
          <w:p w14:paraId="308FD5AC" w14:textId="77777777" w:rsidR="00826028" w:rsidRDefault="00826028" w:rsidP="00826028">
            <w:pPr>
              <w:jc w:val="center"/>
              <w:rPr>
                <w:rFonts w:ascii="Calibri" w:hAnsi="Calibri" w:cs="Calibri"/>
                <w:color w:val="000000"/>
                <w:sz w:val="22"/>
                <w:szCs w:val="22"/>
                <w:lang w:eastAsia="en-GB"/>
              </w:rPr>
            </w:pPr>
          </w:p>
          <w:p w14:paraId="19050273" w14:textId="77777777" w:rsidR="00826028" w:rsidRPr="004871FC" w:rsidRDefault="00826028" w:rsidP="00826028">
            <w:pPr>
              <w:jc w:val="center"/>
              <w:rPr>
                <w:rFonts w:ascii="Calibri" w:hAnsi="Calibri" w:cs="Calibri"/>
                <w:color w:val="000000"/>
                <w:sz w:val="22"/>
                <w:szCs w:val="22"/>
                <w:lang w:eastAsia="en-GB"/>
              </w:rPr>
            </w:pPr>
            <w:r w:rsidRPr="004871FC">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auto" w:fill="auto"/>
            <w:noWrap/>
            <w:hideMark/>
          </w:tcPr>
          <w:p w14:paraId="703BBCE2" w14:textId="77777777" w:rsidR="00826028" w:rsidRDefault="00826028" w:rsidP="00826028">
            <w:pPr>
              <w:jc w:val="center"/>
              <w:rPr>
                <w:rFonts w:ascii="Calibri" w:hAnsi="Calibri" w:cs="Calibri"/>
                <w:color w:val="000000"/>
                <w:sz w:val="22"/>
                <w:szCs w:val="22"/>
                <w:lang w:eastAsia="en-GB"/>
              </w:rPr>
            </w:pPr>
          </w:p>
          <w:p w14:paraId="3ECA1267" w14:textId="77777777" w:rsidR="00826028" w:rsidRPr="004871FC" w:rsidRDefault="00826028" w:rsidP="00826028">
            <w:pPr>
              <w:jc w:val="center"/>
              <w:rPr>
                <w:rFonts w:ascii="Calibri" w:hAnsi="Calibri" w:cs="Calibri"/>
                <w:color w:val="000000"/>
                <w:sz w:val="22"/>
                <w:szCs w:val="22"/>
                <w:lang w:eastAsia="en-GB"/>
              </w:rPr>
            </w:pPr>
            <w:r w:rsidRPr="004871FC">
              <w:rPr>
                <w:rFonts w:ascii="Calibri" w:hAnsi="Calibri" w:cs="Calibri"/>
                <w:color w:val="000000"/>
                <w:sz w:val="22"/>
                <w:szCs w:val="22"/>
                <w:lang w:eastAsia="en-GB"/>
              </w:rPr>
              <w:t>£</w:t>
            </w:r>
          </w:p>
        </w:tc>
      </w:tr>
      <w:tr w:rsidR="00826028" w:rsidRPr="005431BC" w14:paraId="1AE9811C" w14:textId="77777777" w:rsidTr="00826028">
        <w:trPr>
          <w:trHeight w:val="290"/>
        </w:trPr>
        <w:tc>
          <w:tcPr>
            <w:tcW w:w="2690" w:type="dxa"/>
            <w:tcBorders>
              <w:top w:val="nil"/>
              <w:left w:val="single" w:sz="4" w:space="0" w:color="auto"/>
              <w:bottom w:val="single" w:sz="4" w:space="0" w:color="auto"/>
              <w:right w:val="single" w:sz="4" w:space="0" w:color="auto"/>
            </w:tcBorders>
            <w:shd w:val="clear" w:color="auto" w:fill="auto"/>
            <w:noWrap/>
            <w:vAlign w:val="bottom"/>
          </w:tcPr>
          <w:p w14:paraId="103F66FF" w14:textId="77777777" w:rsidR="00826028" w:rsidRPr="005431BC" w:rsidRDefault="00826028" w:rsidP="00826028">
            <w:pPr>
              <w:rPr>
                <w:rFonts w:ascii="Calibri" w:hAnsi="Calibri" w:cs="Calibri"/>
                <w:color w:val="000000"/>
                <w:sz w:val="22"/>
                <w:szCs w:val="22"/>
                <w:lang w:eastAsia="en-GB"/>
              </w:rPr>
            </w:pPr>
            <w:r>
              <w:rPr>
                <w:rFonts w:ascii="Calibri" w:hAnsi="Calibri" w:cs="Calibri"/>
                <w:color w:val="000000"/>
                <w:sz w:val="22"/>
                <w:szCs w:val="22"/>
                <w:lang w:eastAsia="en-GB"/>
              </w:rPr>
              <w:t xml:space="preserve">Budget Shortfall </w:t>
            </w:r>
          </w:p>
        </w:tc>
        <w:tc>
          <w:tcPr>
            <w:tcW w:w="1417" w:type="dxa"/>
            <w:tcBorders>
              <w:top w:val="nil"/>
              <w:left w:val="nil"/>
              <w:bottom w:val="single" w:sz="4" w:space="0" w:color="auto"/>
              <w:right w:val="single" w:sz="4" w:space="0" w:color="auto"/>
            </w:tcBorders>
            <w:shd w:val="clear" w:color="auto" w:fill="auto"/>
            <w:noWrap/>
            <w:vAlign w:val="bottom"/>
          </w:tcPr>
          <w:p w14:paraId="6B5F0E70"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75,012</w:t>
            </w:r>
          </w:p>
        </w:tc>
        <w:tc>
          <w:tcPr>
            <w:tcW w:w="1331" w:type="dxa"/>
            <w:tcBorders>
              <w:top w:val="nil"/>
              <w:left w:val="nil"/>
              <w:bottom w:val="single" w:sz="4" w:space="0" w:color="auto"/>
              <w:right w:val="single" w:sz="4" w:space="0" w:color="auto"/>
            </w:tcBorders>
            <w:shd w:val="clear" w:color="auto" w:fill="auto"/>
            <w:noWrap/>
          </w:tcPr>
          <w:p w14:paraId="38B9DBAB"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75,012</w:t>
            </w:r>
          </w:p>
        </w:tc>
        <w:tc>
          <w:tcPr>
            <w:tcW w:w="1196" w:type="dxa"/>
            <w:tcBorders>
              <w:top w:val="nil"/>
              <w:left w:val="nil"/>
              <w:bottom w:val="single" w:sz="4" w:space="0" w:color="auto"/>
              <w:right w:val="single" w:sz="4" w:space="0" w:color="auto"/>
            </w:tcBorders>
            <w:shd w:val="clear" w:color="auto" w:fill="auto"/>
            <w:noWrap/>
          </w:tcPr>
          <w:p w14:paraId="4D2D080F"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75,012</w:t>
            </w:r>
          </w:p>
        </w:tc>
        <w:tc>
          <w:tcPr>
            <w:tcW w:w="1196" w:type="dxa"/>
            <w:tcBorders>
              <w:top w:val="nil"/>
              <w:left w:val="nil"/>
              <w:bottom w:val="single" w:sz="4" w:space="0" w:color="auto"/>
              <w:right w:val="single" w:sz="4" w:space="0" w:color="auto"/>
            </w:tcBorders>
            <w:shd w:val="clear" w:color="auto" w:fill="auto"/>
            <w:noWrap/>
          </w:tcPr>
          <w:p w14:paraId="539B1897"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75,012</w:t>
            </w:r>
          </w:p>
        </w:tc>
        <w:tc>
          <w:tcPr>
            <w:tcW w:w="1196" w:type="dxa"/>
            <w:tcBorders>
              <w:top w:val="nil"/>
              <w:left w:val="nil"/>
              <w:bottom w:val="single" w:sz="4" w:space="0" w:color="auto"/>
              <w:right w:val="single" w:sz="4" w:space="0" w:color="auto"/>
            </w:tcBorders>
            <w:shd w:val="clear" w:color="auto" w:fill="auto"/>
            <w:noWrap/>
          </w:tcPr>
          <w:p w14:paraId="000B3D57"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75,012</w:t>
            </w:r>
          </w:p>
        </w:tc>
        <w:tc>
          <w:tcPr>
            <w:tcW w:w="1196" w:type="dxa"/>
            <w:tcBorders>
              <w:top w:val="nil"/>
              <w:left w:val="nil"/>
              <w:bottom w:val="single" w:sz="4" w:space="0" w:color="auto"/>
              <w:right w:val="single" w:sz="4" w:space="0" w:color="auto"/>
            </w:tcBorders>
            <w:shd w:val="clear" w:color="auto" w:fill="auto"/>
            <w:noWrap/>
          </w:tcPr>
          <w:p w14:paraId="4A3CD5F9"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75,012</w:t>
            </w:r>
          </w:p>
        </w:tc>
      </w:tr>
      <w:tr w:rsidR="00826028" w:rsidRPr="005431BC" w14:paraId="75AA5AB8" w14:textId="77777777" w:rsidTr="00826028">
        <w:trPr>
          <w:trHeight w:val="290"/>
        </w:trPr>
        <w:tc>
          <w:tcPr>
            <w:tcW w:w="2690" w:type="dxa"/>
            <w:tcBorders>
              <w:top w:val="nil"/>
              <w:left w:val="single" w:sz="4" w:space="0" w:color="auto"/>
              <w:bottom w:val="single" w:sz="4" w:space="0" w:color="auto"/>
              <w:right w:val="single" w:sz="4" w:space="0" w:color="auto"/>
            </w:tcBorders>
            <w:shd w:val="clear" w:color="auto" w:fill="auto"/>
            <w:noWrap/>
            <w:vAlign w:val="bottom"/>
          </w:tcPr>
          <w:p w14:paraId="0B0AD383" w14:textId="77777777" w:rsidR="00826028" w:rsidRPr="005431BC" w:rsidRDefault="00826028" w:rsidP="00826028">
            <w:pPr>
              <w:rPr>
                <w:rFonts w:ascii="Calibri" w:hAnsi="Calibri" w:cs="Calibri"/>
                <w:color w:val="000000"/>
                <w:sz w:val="22"/>
                <w:szCs w:val="22"/>
                <w:lang w:eastAsia="en-GB"/>
              </w:rPr>
            </w:pPr>
            <w:r w:rsidRPr="005431BC">
              <w:rPr>
                <w:rFonts w:ascii="Calibri" w:hAnsi="Calibri" w:cs="Calibri"/>
                <w:color w:val="000000"/>
                <w:sz w:val="22"/>
                <w:szCs w:val="22"/>
                <w:lang w:eastAsia="en-GB"/>
              </w:rPr>
              <w:t>Investment in Green Energy - Cost Reductions</w:t>
            </w:r>
          </w:p>
        </w:tc>
        <w:tc>
          <w:tcPr>
            <w:tcW w:w="1417" w:type="dxa"/>
            <w:tcBorders>
              <w:top w:val="nil"/>
              <w:left w:val="nil"/>
              <w:bottom w:val="single" w:sz="4" w:space="0" w:color="auto"/>
              <w:right w:val="single" w:sz="4" w:space="0" w:color="auto"/>
            </w:tcBorders>
            <w:shd w:val="clear" w:color="auto" w:fill="auto"/>
            <w:noWrap/>
            <w:vAlign w:val="bottom"/>
          </w:tcPr>
          <w:p w14:paraId="3960EEE1" w14:textId="77777777" w:rsidR="00826028" w:rsidRPr="005431BC" w:rsidRDefault="00826028" w:rsidP="00826028">
            <w:pPr>
              <w:jc w:val="right"/>
              <w:rPr>
                <w:rFonts w:ascii="Calibri" w:hAnsi="Calibri" w:cs="Calibri"/>
                <w:color w:val="000000"/>
                <w:sz w:val="22"/>
                <w:szCs w:val="22"/>
                <w:lang w:eastAsia="en-GB"/>
              </w:rPr>
            </w:pPr>
          </w:p>
        </w:tc>
        <w:tc>
          <w:tcPr>
            <w:tcW w:w="1331" w:type="dxa"/>
            <w:tcBorders>
              <w:top w:val="nil"/>
              <w:left w:val="nil"/>
              <w:bottom w:val="single" w:sz="4" w:space="0" w:color="auto"/>
              <w:right w:val="single" w:sz="4" w:space="0" w:color="auto"/>
            </w:tcBorders>
            <w:shd w:val="clear" w:color="auto" w:fill="auto"/>
            <w:noWrap/>
            <w:vAlign w:val="bottom"/>
          </w:tcPr>
          <w:p w14:paraId="56B9009C" w14:textId="77777777" w:rsidR="00826028" w:rsidRPr="005431BC" w:rsidRDefault="00826028" w:rsidP="00826028">
            <w:pPr>
              <w:jc w:val="right"/>
              <w:rPr>
                <w:rFonts w:ascii="Calibri" w:hAnsi="Calibri" w:cs="Calibri"/>
                <w:color w:val="000000"/>
                <w:sz w:val="22"/>
                <w:szCs w:val="22"/>
                <w:lang w:eastAsia="en-GB"/>
              </w:rPr>
            </w:pPr>
          </w:p>
        </w:tc>
        <w:tc>
          <w:tcPr>
            <w:tcW w:w="1196" w:type="dxa"/>
            <w:tcBorders>
              <w:top w:val="nil"/>
              <w:left w:val="nil"/>
              <w:bottom w:val="single" w:sz="4" w:space="0" w:color="auto"/>
              <w:right w:val="single" w:sz="4" w:space="0" w:color="auto"/>
            </w:tcBorders>
            <w:shd w:val="clear" w:color="auto" w:fill="auto"/>
            <w:noWrap/>
            <w:vAlign w:val="bottom"/>
          </w:tcPr>
          <w:p w14:paraId="12593678" w14:textId="77777777" w:rsidR="00826028" w:rsidRPr="005431BC" w:rsidRDefault="00826028" w:rsidP="00826028">
            <w:pPr>
              <w:jc w:val="right"/>
              <w:rPr>
                <w:rFonts w:ascii="Calibri" w:hAnsi="Calibri" w:cs="Calibri"/>
                <w:color w:val="000000"/>
                <w:sz w:val="22"/>
                <w:szCs w:val="22"/>
                <w:lang w:eastAsia="en-GB"/>
              </w:rPr>
            </w:pPr>
          </w:p>
        </w:tc>
        <w:tc>
          <w:tcPr>
            <w:tcW w:w="1196" w:type="dxa"/>
            <w:tcBorders>
              <w:top w:val="nil"/>
              <w:left w:val="nil"/>
              <w:bottom w:val="single" w:sz="4" w:space="0" w:color="auto"/>
              <w:right w:val="single" w:sz="4" w:space="0" w:color="auto"/>
            </w:tcBorders>
            <w:shd w:val="clear" w:color="auto" w:fill="auto"/>
            <w:noWrap/>
            <w:vAlign w:val="bottom"/>
          </w:tcPr>
          <w:p w14:paraId="038B4C40" w14:textId="77777777" w:rsidR="00826028" w:rsidRPr="005431BC" w:rsidRDefault="00826028" w:rsidP="00826028">
            <w:pPr>
              <w:jc w:val="right"/>
              <w:rPr>
                <w:rFonts w:ascii="Calibri" w:hAnsi="Calibri" w:cs="Calibri"/>
                <w:color w:val="000000"/>
                <w:sz w:val="22"/>
                <w:szCs w:val="22"/>
                <w:lang w:eastAsia="en-GB"/>
              </w:rPr>
            </w:pPr>
          </w:p>
        </w:tc>
        <w:tc>
          <w:tcPr>
            <w:tcW w:w="1196" w:type="dxa"/>
            <w:tcBorders>
              <w:top w:val="nil"/>
              <w:left w:val="nil"/>
              <w:bottom w:val="single" w:sz="4" w:space="0" w:color="auto"/>
              <w:right w:val="single" w:sz="4" w:space="0" w:color="auto"/>
            </w:tcBorders>
            <w:shd w:val="clear" w:color="auto" w:fill="auto"/>
            <w:noWrap/>
            <w:vAlign w:val="bottom"/>
          </w:tcPr>
          <w:p w14:paraId="11F8DEA3" w14:textId="77777777" w:rsidR="00826028" w:rsidRPr="005431BC" w:rsidRDefault="00826028" w:rsidP="00826028">
            <w:pPr>
              <w:jc w:val="right"/>
              <w:rPr>
                <w:rFonts w:ascii="Calibri" w:hAnsi="Calibri" w:cs="Calibri"/>
                <w:color w:val="000000"/>
                <w:sz w:val="22"/>
                <w:szCs w:val="22"/>
                <w:lang w:eastAsia="en-GB"/>
              </w:rPr>
            </w:pPr>
          </w:p>
        </w:tc>
        <w:tc>
          <w:tcPr>
            <w:tcW w:w="1196" w:type="dxa"/>
            <w:tcBorders>
              <w:top w:val="nil"/>
              <w:left w:val="nil"/>
              <w:bottom w:val="single" w:sz="4" w:space="0" w:color="auto"/>
              <w:right w:val="single" w:sz="4" w:space="0" w:color="auto"/>
            </w:tcBorders>
            <w:shd w:val="clear" w:color="auto" w:fill="auto"/>
            <w:noWrap/>
            <w:vAlign w:val="bottom"/>
          </w:tcPr>
          <w:p w14:paraId="1381CD36" w14:textId="77777777" w:rsidR="00826028" w:rsidRPr="005431BC" w:rsidRDefault="00826028" w:rsidP="00826028">
            <w:pPr>
              <w:jc w:val="right"/>
              <w:rPr>
                <w:rFonts w:ascii="Calibri" w:hAnsi="Calibri" w:cs="Calibri"/>
                <w:color w:val="000000"/>
                <w:sz w:val="22"/>
                <w:szCs w:val="22"/>
                <w:lang w:eastAsia="en-GB"/>
              </w:rPr>
            </w:pPr>
          </w:p>
        </w:tc>
      </w:tr>
      <w:tr w:rsidR="00826028" w:rsidRPr="005431BC" w14:paraId="6982EE76" w14:textId="77777777" w:rsidTr="00826028">
        <w:trPr>
          <w:trHeight w:val="290"/>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23673756" w14:textId="77777777" w:rsidR="00826028" w:rsidRPr="005431BC" w:rsidRDefault="00826028" w:rsidP="00826028">
            <w:pPr>
              <w:rPr>
                <w:rFonts w:ascii="Calibri" w:hAnsi="Calibri" w:cs="Calibri"/>
                <w:color w:val="000000"/>
                <w:sz w:val="22"/>
                <w:szCs w:val="22"/>
                <w:lang w:eastAsia="en-GB"/>
              </w:rPr>
            </w:pPr>
            <w:r w:rsidRPr="005431BC">
              <w:rPr>
                <w:rFonts w:ascii="Calibri" w:hAnsi="Calibri" w:cs="Calibri"/>
                <w:color w:val="000000"/>
                <w:sz w:val="22"/>
                <w:szCs w:val="22"/>
                <w:lang w:eastAsia="en-GB"/>
              </w:rPr>
              <w:t>Domestic</w:t>
            </w:r>
          </w:p>
        </w:tc>
        <w:tc>
          <w:tcPr>
            <w:tcW w:w="1417" w:type="dxa"/>
            <w:tcBorders>
              <w:top w:val="nil"/>
              <w:left w:val="nil"/>
              <w:bottom w:val="single" w:sz="4" w:space="0" w:color="auto"/>
              <w:right w:val="single" w:sz="4" w:space="0" w:color="auto"/>
            </w:tcBorders>
            <w:shd w:val="clear" w:color="auto" w:fill="auto"/>
            <w:noWrap/>
            <w:vAlign w:val="bottom"/>
            <w:hideMark/>
          </w:tcPr>
          <w:p w14:paraId="49C2A6B3"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Pr="005431BC">
              <w:rPr>
                <w:rFonts w:ascii="Calibri" w:hAnsi="Calibri" w:cs="Calibri"/>
                <w:color w:val="000000"/>
                <w:sz w:val="22"/>
                <w:szCs w:val="22"/>
                <w:lang w:eastAsia="en-GB"/>
              </w:rPr>
              <w:t>14,460</w:t>
            </w:r>
          </w:p>
        </w:tc>
        <w:tc>
          <w:tcPr>
            <w:tcW w:w="1331" w:type="dxa"/>
            <w:tcBorders>
              <w:top w:val="nil"/>
              <w:left w:val="nil"/>
              <w:bottom w:val="single" w:sz="4" w:space="0" w:color="auto"/>
              <w:right w:val="single" w:sz="4" w:space="0" w:color="auto"/>
            </w:tcBorders>
            <w:shd w:val="clear" w:color="auto" w:fill="auto"/>
            <w:noWrap/>
            <w:vAlign w:val="bottom"/>
            <w:hideMark/>
          </w:tcPr>
          <w:p w14:paraId="4B81ED4E"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Pr="005431BC">
              <w:rPr>
                <w:rFonts w:ascii="Calibri" w:hAnsi="Calibri" w:cs="Calibri"/>
                <w:color w:val="000000"/>
                <w:sz w:val="22"/>
                <w:szCs w:val="22"/>
                <w:lang w:eastAsia="en-GB"/>
              </w:rPr>
              <w:t>28,920</w:t>
            </w:r>
          </w:p>
        </w:tc>
        <w:tc>
          <w:tcPr>
            <w:tcW w:w="1196" w:type="dxa"/>
            <w:tcBorders>
              <w:top w:val="nil"/>
              <w:left w:val="nil"/>
              <w:bottom w:val="single" w:sz="4" w:space="0" w:color="auto"/>
              <w:right w:val="single" w:sz="4" w:space="0" w:color="auto"/>
            </w:tcBorders>
            <w:shd w:val="clear" w:color="auto" w:fill="auto"/>
            <w:noWrap/>
            <w:vAlign w:val="bottom"/>
            <w:hideMark/>
          </w:tcPr>
          <w:p w14:paraId="52799FBA"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Pr="005431BC">
              <w:rPr>
                <w:rFonts w:ascii="Calibri" w:hAnsi="Calibri" w:cs="Calibri"/>
                <w:color w:val="000000"/>
                <w:sz w:val="22"/>
                <w:szCs w:val="22"/>
                <w:lang w:eastAsia="en-GB"/>
              </w:rPr>
              <w:t>43,380</w:t>
            </w:r>
          </w:p>
        </w:tc>
        <w:tc>
          <w:tcPr>
            <w:tcW w:w="1196" w:type="dxa"/>
            <w:tcBorders>
              <w:top w:val="nil"/>
              <w:left w:val="nil"/>
              <w:bottom w:val="single" w:sz="4" w:space="0" w:color="auto"/>
              <w:right w:val="single" w:sz="4" w:space="0" w:color="auto"/>
            </w:tcBorders>
            <w:shd w:val="clear" w:color="auto" w:fill="auto"/>
            <w:noWrap/>
            <w:vAlign w:val="bottom"/>
            <w:hideMark/>
          </w:tcPr>
          <w:p w14:paraId="1EF18CF9"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Pr="005431BC">
              <w:rPr>
                <w:rFonts w:ascii="Calibri" w:hAnsi="Calibri" w:cs="Calibri"/>
                <w:color w:val="000000"/>
                <w:sz w:val="22"/>
                <w:szCs w:val="22"/>
                <w:lang w:eastAsia="en-GB"/>
              </w:rPr>
              <w:t>57,840</w:t>
            </w:r>
          </w:p>
        </w:tc>
        <w:tc>
          <w:tcPr>
            <w:tcW w:w="1196" w:type="dxa"/>
            <w:tcBorders>
              <w:top w:val="nil"/>
              <w:left w:val="nil"/>
              <w:bottom w:val="single" w:sz="4" w:space="0" w:color="auto"/>
              <w:right w:val="single" w:sz="4" w:space="0" w:color="auto"/>
            </w:tcBorders>
            <w:shd w:val="clear" w:color="auto" w:fill="auto"/>
            <w:noWrap/>
            <w:vAlign w:val="bottom"/>
            <w:hideMark/>
          </w:tcPr>
          <w:p w14:paraId="33B9DD3D"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Pr="005431BC">
              <w:rPr>
                <w:rFonts w:ascii="Calibri" w:hAnsi="Calibri" w:cs="Calibri"/>
                <w:color w:val="000000"/>
                <w:sz w:val="22"/>
                <w:szCs w:val="22"/>
                <w:lang w:eastAsia="en-GB"/>
              </w:rPr>
              <w:t>72,300</w:t>
            </w:r>
          </w:p>
        </w:tc>
        <w:tc>
          <w:tcPr>
            <w:tcW w:w="1196" w:type="dxa"/>
            <w:tcBorders>
              <w:top w:val="nil"/>
              <w:left w:val="nil"/>
              <w:bottom w:val="single" w:sz="4" w:space="0" w:color="auto"/>
              <w:right w:val="single" w:sz="4" w:space="0" w:color="auto"/>
            </w:tcBorders>
            <w:shd w:val="clear" w:color="auto" w:fill="auto"/>
            <w:noWrap/>
            <w:vAlign w:val="bottom"/>
            <w:hideMark/>
          </w:tcPr>
          <w:p w14:paraId="7C692A26"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Pr="005431BC">
              <w:rPr>
                <w:rFonts w:ascii="Calibri" w:hAnsi="Calibri" w:cs="Calibri"/>
                <w:color w:val="000000"/>
                <w:sz w:val="22"/>
                <w:szCs w:val="22"/>
                <w:lang w:eastAsia="en-GB"/>
              </w:rPr>
              <w:t>86,760</w:t>
            </w:r>
          </w:p>
        </w:tc>
      </w:tr>
      <w:tr w:rsidR="00826028" w:rsidRPr="005431BC" w14:paraId="1A2F29A5" w14:textId="77777777" w:rsidTr="00826028">
        <w:trPr>
          <w:trHeight w:val="290"/>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5F030C0B" w14:textId="1E0E51D6" w:rsidR="00826028" w:rsidRPr="005431BC" w:rsidRDefault="00913A26" w:rsidP="00826028">
            <w:pPr>
              <w:rPr>
                <w:rFonts w:ascii="Calibri" w:hAnsi="Calibri" w:cs="Calibri"/>
                <w:color w:val="000000"/>
                <w:sz w:val="22"/>
                <w:szCs w:val="22"/>
                <w:lang w:eastAsia="en-GB"/>
              </w:rPr>
            </w:pPr>
            <w:r w:rsidRPr="005431BC">
              <w:rPr>
                <w:rFonts w:ascii="Calibri" w:hAnsi="Calibri" w:cs="Calibri"/>
                <w:color w:val="000000"/>
                <w:sz w:val="22"/>
                <w:szCs w:val="22"/>
                <w:lang w:eastAsia="en-GB"/>
              </w:rPr>
              <w:t>Comm</w:t>
            </w:r>
            <w:r>
              <w:rPr>
                <w:rFonts w:ascii="Calibri" w:hAnsi="Calibri" w:cs="Calibri"/>
                <w:color w:val="000000"/>
                <w:sz w:val="22"/>
                <w:szCs w:val="22"/>
                <w:lang w:eastAsia="en-GB"/>
              </w:rPr>
              <w:t>unal</w:t>
            </w:r>
          </w:p>
        </w:tc>
        <w:tc>
          <w:tcPr>
            <w:tcW w:w="1417" w:type="dxa"/>
            <w:tcBorders>
              <w:top w:val="nil"/>
              <w:left w:val="nil"/>
              <w:bottom w:val="single" w:sz="4" w:space="0" w:color="auto"/>
              <w:right w:val="single" w:sz="4" w:space="0" w:color="auto"/>
            </w:tcBorders>
            <w:shd w:val="clear" w:color="auto" w:fill="auto"/>
            <w:noWrap/>
            <w:vAlign w:val="bottom"/>
            <w:hideMark/>
          </w:tcPr>
          <w:p w14:paraId="12F1E069"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Pr="005431BC">
              <w:rPr>
                <w:rFonts w:ascii="Calibri" w:hAnsi="Calibri" w:cs="Calibri"/>
                <w:color w:val="000000"/>
                <w:sz w:val="22"/>
                <w:szCs w:val="22"/>
                <w:lang w:eastAsia="en-GB"/>
              </w:rPr>
              <w:t>33,567</w:t>
            </w:r>
          </w:p>
        </w:tc>
        <w:tc>
          <w:tcPr>
            <w:tcW w:w="1331" w:type="dxa"/>
            <w:tcBorders>
              <w:top w:val="nil"/>
              <w:left w:val="nil"/>
              <w:bottom w:val="single" w:sz="4" w:space="0" w:color="auto"/>
              <w:right w:val="single" w:sz="4" w:space="0" w:color="auto"/>
            </w:tcBorders>
            <w:shd w:val="clear" w:color="auto" w:fill="auto"/>
            <w:noWrap/>
            <w:vAlign w:val="bottom"/>
            <w:hideMark/>
          </w:tcPr>
          <w:p w14:paraId="643ACA86"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Pr="005431BC">
              <w:rPr>
                <w:rFonts w:ascii="Calibri" w:hAnsi="Calibri" w:cs="Calibri"/>
                <w:color w:val="000000"/>
                <w:sz w:val="22"/>
                <w:szCs w:val="22"/>
                <w:lang w:eastAsia="en-GB"/>
              </w:rPr>
              <w:t>50,352</w:t>
            </w:r>
          </w:p>
        </w:tc>
        <w:tc>
          <w:tcPr>
            <w:tcW w:w="1196" w:type="dxa"/>
            <w:tcBorders>
              <w:top w:val="nil"/>
              <w:left w:val="nil"/>
              <w:bottom w:val="single" w:sz="4" w:space="0" w:color="auto"/>
              <w:right w:val="single" w:sz="4" w:space="0" w:color="auto"/>
            </w:tcBorders>
            <w:shd w:val="clear" w:color="auto" w:fill="auto"/>
            <w:noWrap/>
            <w:vAlign w:val="bottom"/>
            <w:hideMark/>
          </w:tcPr>
          <w:p w14:paraId="3E78613A"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Pr="005431BC">
              <w:rPr>
                <w:rFonts w:ascii="Calibri" w:hAnsi="Calibri" w:cs="Calibri"/>
                <w:color w:val="000000"/>
                <w:sz w:val="22"/>
                <w:szCs w:val="22"/>
                <w:lang w:eastAsia="en-GB"/>
              </w:rPr>
              <w:t>67,136</w:t>
            </w:r>
          </w:p>
        </w:tc>
        <w:tc>
          <w:tcPr>
            <w:tcW w:w="1196" w:type="dxa"/>
            <w:tcBorders>
              <w:top w:val="nil"/>
              <w:left w:val="nil"/>
              <w:bottom w:val="single" w:sz="4" w:space="0" w:color="auto"/>
              <w:right w:val="single" w:sz="4" w:space="0" w:color="auto"/>
            </w:tcBorders>
            <w:shd w:val="clear" w:color="auto" w:fill="auto"/>
            <w:noWrap/>
            <w:vAlign w:val="bottom"/>
            <w:hideMark/>
          </w:tcPr>
          <w:p w14:paraId="2B36D326"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Pr="005431BC">
              <w:rPr>
                <w:rFonts w:ascii="Calibri" w:hAnsi="Calibri" w:cs="Calibri"/>
                <w:color w:val="000000"/>
                <w:sz w:val="22"/>
                <w:szCs w:val="22"/>
                <w:lang w:eastAsia="en-GB"/>
              </w:rPr>
              <w:t>83,920</w:t>
            </w:r>
          </w:p>
        </w:tc>
        <w:tc>
          <w:tcPr>
            <w:tcW w:w="1196" w:type="dxa"/>
            <w:tcBorders>
              <w:top w:val="nil"/>
              <w:left w:val="nil"/>
              <w:bottom w:val="single" w:sz="4" w:space="0" w:color="auto"/>
              <w:right w:val="single" w:sz="4" w:space="0" w:color="auto"/>
            </w:tcBorders>
            <w:shd w:val="clear" w:color="auto" w:fill="auto"/>
            <w:noWrap/>
            <w:vAlign w:val="bottom"/>
            <w:hideMark/>
          </w:tcPr>
          <w:p w14:paraId="714F33EA"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Pr="005431BC">
              <w:rPr>
                <w:rFonts w:ascii="Calibri" w:hAnsi="Calibri" w:cs="Calibri"/>
                <w:color w:val="000000"/>
                <w:sz w:val="22"/>
                <w:szCs w:val="22"/>
                <w:lang w:eastAsia="en-GB"/>
              </w:rPr>
              <w:t>90,704</w:t>
            </w:r>
          </w:p>
        </w:tc>
        <w:tc>
          <w:tcPr>
            <w:tcW w:w="1196" w:type="dxa"/>
            <w:tcBorders>
              <w:top w:val="nil"/>
              <w:left w:val="nil"/>
              <w:bottom w:val="single" w:sz="4" w:space="0" w:color="auto"/>
              <w:right w:val="single" w:sz="4" w:space="0" w:color="auto"/>
            </w:tcBorders>
            <w:shd w:val="clear" w:color="auto" w:fill="auto"/>
            <w:noWrap/>
            <w:vAlign w:val="bottom"/>
            <w:hideMark/>
          </w:tcPr>
          <w:p w14:paraId="0687936B"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Pr="005431BC">
              <w:rPr>
                <w:rFonts w:ascii="Calibri" w:hAnsi="Calibri" w:cs="Calibri"/>
                <w:color w:val="000000"/>
                <w:sz w:val="22"/>
                <w:szCs w:val="22"/>
                <w:lang w:eastAsia="en-GB"/>
              </w:rPr>
              <w:t>107,488</w:t>
            </w:r>
          </w:p>
        </w:tc>
      </w:tr>
      <w:tr w:rsidR="00826028" w:rsidRPr="005431BC" w14:paraId="3AEF7E6A" w14:textId="77777777" w:rsidTr="00826028">
        <w:trPr>
          <w:trHeight w:val="290"/>
        </w:trPr>
        <w:tc>
          <w:tcPr>
            <w:tcW w:w="2690" w:type="dxa"/>
            <w:tcBorders>
              <w:top w:val="nil"/>
              <w:left w:val="single" w:sz="4" w:space="0" w:color="auto"/>
              <w:bottom w:val="single" w:sz="4" w:space="0" w:color="auto"/>
              <w:right w:val="single" w:sz="4" w:space="0" w:color="auto"/>
            </w:tcBorders>
            <w:shd w:val="clear" w:color="auto" w:fill="auto"/>
            <w:noWrap/>
            <w:vAlign w:val="bottom"/>
          </w:tcPr>
          <w:p w14:paraId="1E5D5425" w14:textId="77777777" w:rsidR="00826028" w:rsidRPr="005431BC" w:rsidRDefault="00826028" w:rsidP="00826028">
            <w:pPr>
              <w:rPr>
                <w:rFonts w:ascii="Calibri" w:hAnsi="Calibri" w:cs="Calibri"/>
                <w:color w:val="000000"/>
                <w:sz w:val="22"/>
                <w:szCs w:val="22"/>
                <w:lang w:eastAsia="en-GB"/>
              </w:rPr>
            </w:pPr>
            <w:r w:rsidRPr="005431BC">
              <w:rPr>
                <w:rFonts w:ascii="Calibri" w:hAnsi="Calibri" w:cs="Calibri"/>
                <w:color w:val="000000"/>
                <w:sz w:val="22"/>
                <w:szCs w:val="22"/>
                <w:lang w:eastAsia="en-GB"/>
              </w:rPr>
              <w:t xml:space="preserve">Total </w:t>
            </w:r>
            <w:r>
              <w:rPr>
                <w:rFonts w:ascii="Calibri" w:hAnsi="Calibri" w:cs="Calibri"/>
                <w:color w:val="000000"/>
                <w:sz w:val="22"/>
                <w:szCs w:val="22"/>
                <w:lang w:eastAsia="en-GB"/>
              </w:rPr>
              <w:t xml:space="preserve">reduction (green energy) </w:t>
            </w:r>
          </w:p>
        </w:tc>
        <w:tc>
          <w:tcPr>
            <w:tcW w:w="1417" w:type="dxa"/>
            <w:tcBorders>
              <w:top w:val="nil"/>
              <w:left w:val="nil"/>
              <w:bottom w:val="single" w:sz="4" w:space="0" w:color="auto"/>
              <w:right w:val="single" w:sz="4" w:space="0" w:color="auto"/>
            </w:tcBorders>
            <w:shd w:val="clear" w:color="auto" w:fill="auto"/>
            <w:noWrap/>
            <w:vAlign w:val="bottom"/>
          </w:tcPr>
          <w:p w14:paraId="7D71C191" w14:textId="77777777" w:rsidR="00826028" w:rsidRPr="00EA13B3" w:rsidRDefault="00826028" w:rsidP="00826028">
            <w:pPr>
              <w:jc w:val="right"/>
              <w:rPr>
                <w:rFonts w:ascii="Calibri" w:hAnsi="Calibri" w:cs="Calibri"/>
                <w:b/>
                <w:bCs/>
                <w:color w:val="000000"/>
                <w:sz w:val="22"/>
                <w:szCs w:val="22"/>
                <w:lang w:eastAsia="en-GB"/>
              </w:rPr>
            </w:pPr>
            <w:r>
              <w:rPr>
                <w:rFonts w:ascii="Calibri" w:hAnsi="Calibri" w:cs="Calibri"/>
                <w:b/>
                <w:bCs/>
                <w:color w:val="000000"/>
                <w:sz w:val="22"/>
                <w:szCs w:val="22"/>
                <w:lang w:eastAsia="en-GB"/>
              </w:rPr>
              <w:t>-</w:t>
            </w:r>
            <w:r w:rsidRPr="00EA13B3">
              <w:rPr>
                <w:rFonts w:ascii="Calibri" w:hAnsi="Calibri" w:cs="Calibri"/>
                <w:b/>
                <w:bCs/>
                <w:color w:val="000000"/>
                <w:sz w:val="22"/>
                <w:szCs w:val="22"/>
                <w:lang w:eastAsia="en-GB"/>
              </w:rPr>
              <w:t>48,027</w:t>
            </w:r>
          </w:p>
        </w:tc>
        <w:tc>
          <w:tcPr>
            <w:tcW w:w="1331" w:type="dxa"/>
            <w:tcBorders>
              <w:top w:val="nil"/>
              <w:left w:val="nil"/>
              <w:bottom w:val="single" w:sz="4" w:space="0" w:color="auto"/>
              <w:right w:val="single" w:sz="4" w:space="0" w:color="auto"/>
            </w:tcBorders>
            <w:shd w:val="clear" w:color="auto" w:fill="auto"/>
            <w:noWrap/>
            <w:vAlign w:val="bottom"/>
          </w:tcPr>
          <w:p w14:paraId="101BC560" w14:textId="77777777" w:rsidR="00826028" w:rsidRPr="00EA13B3" w:rsidRDefault="00826028" w:rsidP="00826028">
            <w:pPr>
              <w:jc w:val="right"/>
              <w:rPr>
                <w:rFonts w:ascii="Calibri" w:hAnsi="Calibri" w:cs="Calibri"/>
                <w:b/>
                <w:bCs/>
                <w:color w:val="000000"/>
                <w:sz w:val="22"/>
                <w:szCs w:val="22"/>
                <w:lang w:eastAsia="en-GB"/>
              </w:rPr>
            </w:pPr>
            <w:r>
              <w:rPr>
                <w:rFonts w:ascii="Calibri" w:hAnsi="Calibri" w:cs="Calibri"/>
                <w:b/>
                <w:bCs/>
                <w:color w:val="000000"/>
                <w:sz w:val="22"/>
                <w:szCs w:val="22"/>
                <w:lang w:eastAsia="en-GB"/>
              </w:rPr>
              <w:t>-</w:t>
            </w:r>
            <w:r w:rsidRPr="00EA13B3">
              <w:rPr>
                <w:rFonts w:ascii="Calibri" w:hAnsi="Calibri" w:cs="Calibri"/>
                <w:b/>
                <w:bCs/>
                <w:color w:val="000000"/>
                <w:sz w:val="22"/>
                <w:szCs w:val="22"/>
                <w:lang w:eastAsia="en-GB"/>
              </w:rPr>
              <w:t>79,272</w:t>
            </w:r>
          </w:p>
        </w:tc>
        <w:tc>
          <w:tcPr>
            <w:tcW w:w="1196" w:type="dxa"/>
            <w:tcBorders>
              <w:top w:val="nil"/>
              <w:left w:val="nil"/>
              <w:bottom w:val="single" w:sz="4" w:space="0" w:color="auto"/>
              <w:right w:val="single" w:sz="4" w:space="0" w:color="auto"/>
            </w:tcBorders>
            <w:shd w:val="clear" w:color="auto" w:fill="auto"/>
            <w:noWrap/>
            <w:vAlign w:val="bottom"/>
          </w:tcPr>
          <w:p w14:paraId="146FA45B" w14:textId="77777777" w:rsidR="00826028" w:rsidRPr="00EA13B3" w:rsidRDefault="00826028" w:rsidP="00826028">
            <w:pPr>
              <w:jc w:val="right"/>
              <w:rPr>
                <w:rFonts w:ascii="Calibri" w:hAnsi="Calibri" w:cs="Calibri"/>
                <w:b/>
                <w:bCs/>
                <w:color w:val="000000"/>
                <w:sz w:val="22"/>
                <w:szCs w:val="22"/>
                <w:lang w:eastAsia="en-GB"/>
              </w:rPr>
            </w:pPr>
            <w:r>
              <w:rPr>
                <w:rFonts w:ascii="Calibri" w:hAnsi="Calibri" w:cs="Calibri"/>
                <w:b/>
                <w:bCs/>
                <w:color w:val="000000"/>
                <w:sz w:val="22"/>
                <w:szCs w:val="22"/>
                <w:lang w:eastAsia="en-GB"/>
              </w:rPr>
              <w:t>-</w:t>
            </w:r>
            <w:r w:rsidRPr="00EA13B3">
              <w:rPr>
                <w:rFonts w:ascii="Calibri" w:hAnsi="Calibri" w:cs="Calibri"/>
                <w:b/>
                <w:bCs/>
                <w:color w:val="000000"/>
                <w:sz w:val="22"/>
                <w:szCs w:val="22"/>
                <w:lang w:eastAsia="en-GB"/>
              </w:rPr>
              <w:t>110,516</w:t>
            </w:r>
          </w:p>
        </w:tc>
        <w:tc>
          <w:tcPr>
            <w:tcW w:w="1196" w:type="dxa"/>
            <w:tcBorders>
              <w:top w:val="nil"/>
              <w:left w:val="nil"/>
              <w:bottom w:val="single" w:sz="4" w:space="0" w:color="auto"/>
              <w:right w:val="single" w:sz="4" w:space="0" w:color="auto"/>
            </w:tcBorders>
            <w:shd w:val="clear" w:color="auto" w:fill="auto"/>
            <w:noWrap/>
            <w:vAlign w:val="bottom"/>
          </w:tcPr>
          <w:p w14:paraId="1A00FE8B" w14:textId="77777777" w:rsidR="00826028" w:rsidRPr="00EA13B3" w:rsidRDefault="00826028" w:rsidP="00826028">
            <w:pPr>
              <w:jc w:val="right"/>
              <w:rPr>
                <w:rFonts w:ascii="Calibri" w:hAnsi="Calibri" w:cs="Calibri"/>
                <w:b/>
                <w:bCs/>
                <w:color w:val="000000"/>
                <w:sz w:val="22"/>
                <w:szCs w:val="22"/>
                <w:lang w:eastAsia="en-GB"/>
              </w:rPr>
            </w:pPr>
            <w:r>
              <w:rPr>
                <w:rFonts w:ascii="Calibri" w:hAnsi="Calibri" w:cs="Calibri"/>
                <w:b/>
                <w:bCs/>
                <w:color w:val="000000"/>
                <w:sz w:val="22"/>
                <w:szCs w:val="22"/>
                <w:lang w:eastAsia="en-GB"/>
              </w:rPr>
              <w:t>-</w:t>
            </w:r>
            <w:r w:rsidRPr="00EA13B3">
              <w:rPr>
                <w:rFonts w:ascii="Calibri" w:hAnsi="Calibri" w:cs="Calibri"/>
                <w:b/>
                <w:bCs/>
                <w:color w:val="000000"/>
                <w:sz w:val="22"/>
                <w:szCs w:val="22"/>
                <w:lang w:eastAsia="en-GB"/>
              </w:rPr>
              <w:t>141,760</w:t>
            </w:r>
          </w:p>
        </w:tc>
        <w:tc>
          <w:tcPr>
            <w:tcW w:w="1196" w:type="dxa"/>
            <w:tcBorders>
              <w:top w:val="nil"/>
              <w:left w:val="nil"/>
              <w:bottom w:val="single" w:sz="4" w:space="0" w:color="auto"/>
              <w:right w:val="single" w:sz="4" w:space="0" w:color="auto"/>
            </w:tcBorders>
            <w:shd w:val="clear" w:color="auto" w:fill="auto"/>
            <w:noWrap/>
            <w:vAlign w:val="bottom"/>
          </w:tcPr>
          <w:p w14:paraId="3331D8EA" w14:textId="77777777" w:rsidR="00826028" w:rsidRPr="00EA13B3" w:rsidRDefault="00826028" w:rsidP="00826028">
            <w:pPr>
              <w:jc w:val="right"/>
              <w:rPr>
                <w:rFonts w:ascii="Calibri" w:hAnsi="Calibri" w:cs="Calibri"/>
                <w:b/>
                <w:bCs/>
                <w:color w:val="000000"/>
                <w:sz w:val="22"/>
                <w:szCs w:val="22"/>
                <w:lang w:eastAsia="en-GB"/>
              </w:rPr>
            </w:pPr>
            <w:r>
              <w:rPr>
                <w:rFonts w:ascii="Calibri" w:hAnsi="Calibri" w:cs="Calibri"/>
                <w:b/>
                <w:bCs/>
                <w:color w:val="000000"/>
                <w:sz w:val="22"/>
                <w:szCs w:val="22"/>
                <w:lang w:eastAsia="en-GB"/>
              </w:rPr>
              <w:t>-</w:t>
            </w:r>
            <w:r w:rsidRPr="00EA13B3">
              <w:rPr>
                <w:rFonts w:ascii="Calibri" w:hAnsi="Calibri" w:cs="Calibri"/>
                <w:b/>
                <w:bCs/>
                <w:color w:val="000000"/>
                <w:sz w:val="22"/>
                <w:szCs w:val="22"/>
                <w:lang w:eastAsia="en-GB"/>
              </w:rPr>
              <w:t>163,004</w:t>
            </w:r>
          </w:p>
        </w:tc>
        <w:tc>
          <w:tcPr>
            <w:tcW w:w="1196" w:type="dxa"/>
            <w:tcBorders>
              <w:top w:val="nil"/>
              <w:left w:val="nil"/>
              <w:bottom w:val="single" w:sz="4" w:space="0" w:color="auto"/>
              <w:right w:val="single" w:sz="4" w:space="0" w:color="auto"/>
            </w:tcBorders>
            <w:shd w:val="clear" w:color="auto" w:fill="auto"/>
            <w:noWrap/>
            <w:vAlign w:val="bottom"/>
          </w:tcPr>
          <w:p w14:paraId="1A5B4840" w14:textId="77777777" w:rsidR="00826028" w:rsidRPr="00EA13B3" w:rsidRDefault="00826028" w:rsidP="00826028">
            <w:pPr>
              <w:jc w:val="right"/>
              <w:rPr>
                <w:rFonts w:ascii="Calibri" w:hAnsi="Calibri" w:cs="Calibri"/>
                <w:b/>
                <w:bCs/>
                <w:color w:val="000000"/>
                <w:sz w:val="22"/>
                <w:szCs w:val="22"/>
                <w:lang w:eastAsia="en-GB"/>
              </w:rPr>
            </w:pPr>
            <w:r>
              <w:rPr>
                <w:rFonts w:ascii="Calibri" w:hAnsi="Calibri" w:cs="Calibri"/>
                <w:b/>
                <w:bCs/>
                <w:color w:val="000000"/>
                <w:sz w:val="22"/>
                <w:szCs w:val="22"/>
                <w:lang w:eastAsia="en-GB"/>
              </w:rPr>
              <w:t>-</w:t>
            </w:r>
            <w:r w:rsidRPr="00EA13B3">
              <w:rPr>
                <w:rFonts w:ascii="Calibri" w:hAnsi="Calibri" w:cs="Calibri"/>
                <w:b/>
                <w:bCs/>
                <w:color w:val="000000"/>
                <w:sz w:val="22"/>
                <w:szCs w:val="22"/>
                <w:lang w:eastAsia="en-GB"/>
              </w:rPr>
              <w:t>194,248</w:t>
            </w:r>
          </w:p>
        </w:tc>
      </w:tr>
      <w:tr w:rsidR="00826028" w:rsidRPr="005431BC" w14:paraId="48B4E3DD" w14:textId="77777777" w:rsidTr="00826028">
        <w:trPr>
          <w:trHeight w:val="290"/>
        </w:trPr>
        <w:tc>
          <w:tcPr>
            <w:tcW w:w="2690" w:type="dxa"/>
            <w:tcBorders>
              <w:top w:val="nil"/>
              <w:left w:val="single" w:sz="4" w:space="0" w:color="auto"/>
              <w:bottom w:val="single" w:sz="4" w:space="0" w:color="auto"/>
              <w:right w:val="single" w:sz="4" w:space="0" w:color="auto"/>
            </w:tcBorders>
            <w:shd w:val="clear" w:color="auto" w:fill="auto"/>
            <w:noWrap/>
            <w:vAlign w:val="bottom"/>
          </w:tcPr>
          <w:p w14:paraId="10D18712" w14:textId="3673268D" w:rsidR="00826028" w:rsidRPr="005431BC" w:rsidRDefault="00826028" w:rsidP="00826028">
            <w:pPr>
              <w:rPr>
                <w:rFonts w:ascii="Calibri" w:hAnsi="Calibri" w:cs="Calibri"/>
                <w:color w:val="000000"/>
                <w:sz w:val="22"/>
                <w:szCs w:val="22"/>
                <w:lang w:eastAsia="en-GB"/>
              </w:rPr>
            </w:pPr>
            <w:r>
              <w:rPr>
                <w:rFonts w:ascii="Calibri" w:hAnsi="Calibri" w:cs="Calibri"/>
                <w:color w:val="000000"/>
                <w:sz w:val="22"/>
                <w:szCs w:val="22"/>
                <w:lang w:eastAsia="en-GB"/>
              </w:rPr>
              <w:t xml:space="preserve">Shortfall to be contained within existing provisions </w:t>
            </w:r>
          </w:p>
        </w:tc>
        <w:tc>
          <w:tcPr>
            <w:tcW w:w="1417" w:type="dxa"/>
            <w:tcBorders>
              <w:top w:val="nil"/>
              <w:left w:val="nil"/>
              <w:bottom w:val="single" w:sz="4" w:space="0" w:color="auto"/>
              <w:right w:val="single" w:sz="4" w:space="0" w:color="auto"/>
            </w:tcBorders>
            <w:shd w:val="clear" w:color="auto" w:fill="auto"/>
            <w:noWrap/>
            <w:vAlign w:val="bottom"/>
          </w:tcPr>
          <w:p w14:paraId="513779DB" w14:textId="2666511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913A26">
              <w:rPr>
                <w:rFonts w:ascii="Calibri" w:hAnsi="Calibri" w:cs="Calibri"/>
                <w:color w:val="000000"/>
                <w:sz w:val="22"/>
                <w:szCs w:val="22"/>
                <w:lang w:eastAsia="en-GB"/>
              </w:rPr>
              <w:t>26,985</w:t>
            </w:r>
          </w:p>
        </w:tc>
        <w:tc>
          <w:tcPr>
            <w:tcW w:w="1331" w:type="dxa"/>
            <w:tcBorders>
              <w:top w:val="nil"/>
              <w:left w:val="nil"/>
              <w:bottom w:val="single" w:sz="4" w:space="0" w:color="auto"/>
              <w:right w:val="single" w:sz="4" w:space="0" w:color="auto"/>
            </w:tcBorders>
            <w:shd w:val="clear" w:color="auto" w:fill="auto"/>
            <w:noWrap/>
            <w:vAlign w:val="bottom"/>
          </w:tcPr>
          <w:p w14:paraId="584AA8DD" w14:textId="77777777" w:rsidR="00826028" w:rsidRPr="005431BC" w:rsidRDefault="00826028" w:rsidP="00826028">
            <w:pPr>
              <w:jc w:val="right"/>
              <w:rPr>
                <w:rFonts w:ascii="Calibri" w:hAnsi="Calibri" w:cs="Calibri"/>
                <w:color w:val="000000"/>
                <w:sz w:val="22"/>
                <w:szCs w:val="22"/>
                <w:lang w:eastAsia="en-GB"/>
              </w:rPr>
            </w:pPr>
          </w:p>
        </w:tc>
        <w:tc>
          <w:tcPr>
            <w:tcW w:w="1196" w:type="dxa"/>
            <w:tcBorders>
              <w:top w:val="nil"/>
              <w:left w:val="nil"/>
              <w:bottom w:val="single" w:sz="4" w:space="0" w:color="auto"/>
              <w:right w:val="single" w:sz="4" w:space="0" w:color="auto"/>
            </w:tcBorders>
            <w:shd w:val="clear" w:color="auto" w:fill="auto"/>
            <w:noWrap/>
            <w:vAlign w:val="bottom"/>
          </w:tcPr>
          <w:p w14:paraId="433D0C1D" w14:textId="77777777" w:rsidR="00826028" w:rsidRPr="005431BC" w:rsidRDefault="00826028" w:rsidP="00826028">
            <w:pPr>
              <w:jc w:val="right"/>
              <w:rPr>
                <w:rFonts w:ascii="Calibri" w:hAnsi="Calibri" w:cs="Calibri"/>
                <w:color w:val="000000"/>
                <w:sz w:val="22"/>
                <w:szCs w:val="22"/>
                <w:lang w:eastAsia="en-GB"/>
              </w:rPr>
            </w:pPr>
          </w:p>
        </w:tc>
        <w:tc>
          <w:tcPr>
            <w:tcW w:w="1196" w:type="dxa"/>
            <w:tcBorders>
              <w:top w:val="nil"/>
              <w:left w:val="nil"/>
              <w:bottom w:val="single" w:sz="4" w:space="0" w:color="auto"/>
              <w:right w:val="single" w:sz="4" w:space="0" w:color="auto"/>
            </w:tcBorders>
            <w:shd w:val="clear" w:color="auto" w:fill="auto"/>
            <w:noWrap/>
            <w:vAlign w:val="bottom"/>
          </w:tcPr>
          <w:p w14:paraId="1806889C"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 xml:space="preserve">Nil </w:t>
            </w:r>
          </w:p>
        </w:tc>
        <w:tc>
          <w:tcPr>
            <w:tcW w:w="1196" w:type="dxa"/>
            <w:tcBorders>
              <w:top w:val="nil"/>
              <w:left w:val="nil"/>
              <w:bottom w:val="single" w:sz="4" w:space="0" w:color="auto"/>
              <w:right w:val="single" w:sz="4" w:space="0" w:color="auto"/>
            </w:tcBorders>
            <w:shd w:val="clear" w:color="auto" w:fill="auto"/>
            <w:noWrap/>
            <w:vAlign w:val="bottom"/>
          </w:tcPr>
          <w:p w14:paraId="4DB37481"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 xml:space="preserve">Nil </w:t>
            </w:r>
          </w:p>
        </w:tc>
        <w:tc>
          <w:tcPr>
            <w:tcW w:w="1196" w:type="dxa"/>
            <w:tcBorders>
              <w:top w:val="nil"/>
              <w:left w:val="nil"/>
              <w:bottom w:val="single" w:sz="4" w:space="0" w:color="auto"/>
              <w:right w:val="single" w:sz="4" w:space="0" w:color="auto"/>
            </w:tcBorders>
            <w:shd w:val="clear" w:color="auto" w:fill="auto"/>
            <w:noWrap/>
            <w:vAlign w:val="bottom"/>
          </w:tcPr>
          <w:p w14:paraId="78895CAA"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 xml:space="preserve">Nil </w:t>
            </w:r>
          </w:p>
        </w:tc>
      </w:tr>
      <w:tr w:rsidR="00826028" w:rsidRPr="005431BC" w14:paraId="27437EB9" w14:textId="77777777" w:rsidTr="00826028">
        <w:trPr>
          <w:trHeight w:val="290"/>
        </w:trPr>
        <w:tc>
          <w:tcPr>
            <w:tcW w:w="2690" w:type="dxa"/>
            <w:tcBorders>
              <w:top w:val="nil"/>
              <w:left w:val="single" w:sz="4" w:space="0" w:color="auto"/>
              <w:bottom w:val="single" w:sz="4" w:space="0" w:color="auto"/>
              <w:right w:val="single" w:sz="4" w:space="0" w:color="auto"/>
            </w:tcBorders>
            <w:shd w:val="clear" w:color="auto" w:fill="auto"/>
            <w:noWrap/>
            <w:vAlign w:val="bottom"/>
          </w:tcPr>
          <w:p w14:paraId="5E9663BC" w14:textId="77777777" w:rsidR="00826028" w:rsidRPr="005431BC" w:rsidRDefault="00826028" w:rsidP="00826028">
            <w:pPr>
              <w:rPr>
                <w:rFonts w:ascii="Calibri" w:hAnsi="Calibri" w:cs="Calibri"/>
                <w:color w:val="000000"/>
                <w:sz w:val="22"/>
                <w:szCs w:val="22"/>
                <w:lang w:eastAsia="en-GB"/>
              </w:rPr>
            </w:pPr>
            <w:r>
              <w:rPr>
                <w:rFonts w:ascii="Calibri" w:hAnsi="Calibri" w:cs="Calibri"/>
                <w:color w:val="000000"/>
                <w:sz w:val="22"/>
                <w:szCs w:val="22"/>
                <w:lang w:eastAsia="en-GB"/>
              </w:rPr>
              <w:t>Estimated Net position/ -surplus</w:t>
            </w:r>
          </w:p>
        </w:tc>
        <w:tc>
          <w:tcPr>
            <w:tcW w:w="1417" w:type="dxa"/>
            <w:tcBorders>
              <w:top w:val="nil"/>
              <w:left w:val="nil"/>
              <w:bottom w:val="single" w:sz="4" w:space="0" w:color="auto"/>
              <w:right w:val="single" w:sz="4" w:space="0" w:color="auto"/>
            </w:tcBorders>
            <w:shd w:val="clear" w:color="auto" w:fill="auto"/>
            <w:noWrap/>
            <w:vAlign w:val="bottom"/>
          </w:tcPr>
          <w:p w14:paraId="4A7D03F4"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0</w:t>
            </w:r>
          </w:p>
        </w:tc>
        <w:tc>
          <w:tcPr>
            <w:tcW w:w="1331" w:type="dxa"/>
            <w:tcBorders>
              <w:top w:val="nil"/>
              <w:left w:val="nil"/>
              <w:bottom w:val="single" w:sz="4" w:space="0" w:color="auto"/>
              <w:right w:val="single" w:sz="4" w:space="0" w:color="auto"/>
            </w:tcBorders>
            <w:shd w:val="clear" w:color="auto" w:fill="auto"/>
            <w:noWrap/>
            <w:vAlign w:val="bottom"/>
          </w:tcPr>
          <w:p w14:paraId="390D8D9E" w14:textId="7134EDCF" w:rsidR="00826028" w:rsidRPr="005431BC" w:rsidRDefault="00913A26"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826028">
              <w:rPr>
                <w:rFonts w:ascii="Calibri" w:hAnsi="Calibri" w:cs="Calibri"/>
                <w:color w:val="000000"/>
                <w:sz w:val="22"/>
                <w:szCs w:val="22"/>
                <w:lang w:eastAsia="en-GB"/>
              </w:rPr>
              <w:t>4,260</w:t>
            </w:r>
          </w:p>
        </w:tc>
        <w:tc>
          <w:tcPr>
            <w:tcW w:w="1196" w:type="dxa"/>
            <w:tcBorders>
              <w:top w:val="nil"/>
              <w:left w:val="nil"/>
              <w:bottom w:val="single" w:sz="4" w:space="0" w:color="auto"/>
              <w:right w:val="single" w:sz="4" w:space="0" w:color="auto"/>
            </w:tcBorders>
            <w:shd w:val="clear" w:color="auto" w:fill="auto"/>
            <w:noWrap/>
            <w:vAlign w:val="bottom"/>
          </w:tcPr>
          <w:p w14:paraId="57FEC867"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-35,504</w:t>
            </w:r>
          </w:p>
        </w:tc>
        <w:tc>
          <w:tcPr>
            <w:tcW w:w="1196" w:type="dxa"/>
            <w:tcBorders>
              <w:top w:val="nil"/>
              <w:left w:val="nil"/>
              <w:bottom w:val="single" w:sz="4" w:space="0" w:color="auto"/>
              <w:right w:val="single" w:sz="4" w:space="0" w:color="auto"/>
            </w:tcBorders>
            <w:shd w:val="clear" w:color="auto" w:fill="auto"/>
            <w:noWrap/>
            <w:vAlign w:val="bottom"/>
          </w:tcPr>
          <w:p w14:paraId="645B07BC"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-66,748</w:t>
            </w:r>
          </w:p>
        </w:tc>
        <w:tc>
          <w:tcPr>
            <w:tcW w:w="1196" w:type="dxa"/>
            <w:tcBorders>
              <w:top w:val="nil"/>
              <w:left w:val="nil"/>
              <w:bottom w:val="single" w:sz="4" w:space="0" w:color="auto"/>
              <w:right w:val="single" w:sz="4" w:space="0" w:color="auto"/>
            </w:tcBorders>
            <w:shd w:val="clear" w:color="auto" w:fill="auto"/>
            <w:noWrap/>
            <w:vAlign w:val="bottom"/>
          </w:tcPr>
          <w:p w14:paraId="13449BDB" w14:textId="77777777" w:rsidR="00826028" w:rsidRPr="005431BC" w:rsidRDefault="00826028" w:rsidP="00826028">
            <w:pPr>
              <w:jc w:val="right"/>
              <w:rPr>
                <w:rFonts w:ascii="Calibri" w:hAnsi="Calibri" w:cs="Calibri"/>
                <w:color w:val="000000"/>
                <w:sz w:val="22"/>
                <w:szCs w:val="22"/>
                <w:lang w:eastAsia="en-GB"/>
              </w:rPr>
            </w:pPr>
            <w:r>
              <w:rPr>
                <w:rFonts w:ascii="Calibri" w:hAnsi="Calibri" w:cs="Calibri"/>
                <w:color w:val="000000"/>
                <w:sz w:val="22"/>
                <w:szCs w:val="22"/>
                <w:lang w:eastAsia="en-GB"/>
              </w:rPr>
              <w:t>-87,992</w:t>
            </w:r>
          </w:p>
        </w:tc>
        <w:tc>
          <w:tcPr>
            <w:tcW w:w="1196" w:type="dxa"/>
            <w:tcBorders>
              <w:top w:val="nil"/>
              <w:left w:val="nil"/>
              <w:bottom w:val="single" w:sz="4" w:space="0" w:color="auto"/>
              <w:right w:val="single" w:sz="4" w:space="0" w:color="auto"/>
            </w:tcBorders>
            <w:shd w:val="clear" w:color="auto" w:fill="auto"/>
            <w:noWrap/>
            <w:vAlign w:val="bottom"/>
          </w:tcPr>
          <w:p w14:paraId="4A1BCAE5" w14:textId="77777777" w:rsidR="00826028" w:rsidRPr="005431BC" w:rsidRDefault="00826028" w:rsidP="00826028">
            <w:pPr>
              <w:jc w:val="center"/>
              <w:rPr>
                <w:rFonts w:ascii="Calibri" w:hAnsi="Calibri" w:cs="Calibri"/>
                <w:color w:val="000000"/>
                <w:sz w:val="22"/>
                <w:szCs w:val="22"/>
                <w:lang w:eastAsia="en-GB"/>
              </w:rPr>
            </w:pPr>
            <w:r>
              <w:rPr>
                <w:rFonts w:ascii="Calibri" w:hAnsi="Calibri" w:cs="Calibri"/>
                <w:color w:val="000000"/>
                <w:sz w:val="22"/>
                <w:szCs w:val="22"/>
                <w:lang w:eastAsia="en-GB"/>
              </w:rPr>
              <w:t>-119,236</w:t>
            </w:r>
          </w:p>
        </w:tc>
      </w:tr>
    </w:tbl>
    <w:p w14:paraId="44AF46B5" w14:textId="0F806145" w:rsidR="000421F0" w:rsidRDefault="000421F0" w:rsidP="000421F0">
      <w:pPr>
        <w:pStyle w:val="CommentText"/>
        <w:ind w:left="720"/>
        <w:jc w:val="both"/>
        <w:rPr>
          <w:sz w:val="24"/>
          <w:szCs w:val="24"/>
        </w:rPr>
      </w:pPr>
    </w:p>
    <w:p w14:paraId="13386D71" w14:textId="456B0233" w:rsidR="000421F0" w:rsidRPr="00E10D43" w:rsidRDefault="000421F0" w:rsidP="000421F0">
      <w:pPr>
        <w:pStyle w:val="CommentText"/>
        <w:ind w:left="720" w:hanging="720"/>
        <w:jc w:val="both"/>
        <w:rPr>
          <w:sz w:val="24"/>
          <w:szCs w:val="24"/>
        </w:rPr>
      </w:pPr>
      <w:r w:rsidRPr="007B47B1">
        <w:rPr>
          <w:rFonts w:cs="Arial"/>
          <w:sz w:val="24"/>
        </w:rPr>
        <w:t>4.</w:t>
      </w:r>
      <w:r w:rsidR="001B33D4" w:rsidRPr="007B47B1">
        <w:rPr>
          <w:rFonts w:cs="Arial"/>
          <w:sz w:val="24"/>
        </w:rPr>
        <w:t>6</w:t>
      </w:r>
      <w:r w:rsidRPr="007B47B1">
        <w:rPr>
          <w:rFonts w:cs="Arial"/>
          <w:sz w:val="24"/>
        </w:rPr>
        <w:tab/>
      </w:r>
      <w:r w:rsidR="00913A26">
        <w:rPr>
          <w:rFonts w:cs="Arial"/>
          <w:sz w:val="24"/>
        </w:rPr>
        <w:t xml:space="preserve">If projections show </w:t>
      </w:r>
      <w:r w:rsidR="00AC634F">
        <w:rPr>
          <w:rFonts w:cs="Arial"/>
          <w:sz w:val="24"/>
        </w:rPr>
        <w:t>that</w:t>
      </w:r>
      <w:r w:rsidR="007B47B1">
        <w:rPr>
          <w:rFonts w:cs="Arial"/>
          <w:sz w:val="24"/>
        </w:rPr>
        <w:t xml:space="preserve"> </w:t>
      </w:r>
      <w:r w:rsidR="005A6641">
        <w:rPr>
          <w:rFonts w:cs="Arial"/>
          <w:sz w:val="24"/>
        </w:rPr>
        <w:t xml:space="preserve">small </w:t>
      </w:r>
      <w:r w:rsidR="007B47B1">
        <w:rPr>
          <w:rFonts w:cs="Arial"/>
          <w:sz w:val="24"/>
        </w:rPr>
        <w:t>shortfall of £</w:t>
      </w:r>
      <w:r w:rsidR="00913A26">
        <w:rPr>
          <w:rFonts w:cs="Arial"/>
          <w:sz w:val="24"/>
        </w:rPr>
        <w:t xml:space="preserve">26k </w:t>
      </w:r>
      <w:r w:rsidR="007B47B1">
        <w:rPr>
          <w:rFonts w:cs="Arial"/>
          <w:sz w:val="24"/>
        </w:rPr>
        <w:t xml:space="preserve">in 2022/23 </w:t>
      </w:r>
      <w:r w:rsidR="00913A26">
        <w:rPr>
          <w:rFonts w:cs="Arial"/>
          <w:sz w:val="24"/>
        </w:rPr>
        <w:t>cannot</w:t>
      </w:r>
      <w:r w:rsidR="007B47B1">
        <w:rPr>
          <w:rFonts w:cs="Arial"/>
          <w:sz w:val="24"/>
        </w:rPr>
        <w:t xml:space="preserve"> be contained within </w:t>
      </w:r>
      <w:r w:rsidR="00BC542D">
        <w:rPr>
          <w:rFonts w:cs="Arial"/>
          <w:sz w:val="24"/>
        </w:rPr>
        <w:t>the existing</w:t>
      </w:r>
      <w:r w:rsidR="007B47B1">
        <w:rPr>
          <w:rFonts w:cs="Arial"/>
          <w:sz w:val="24"/>
        </w:rPr>
        <w:t xml:space="preserve"> </w:t>
      </w:r>
      <w:r w:rsidR="00913A26">
        <w:rPr>
          <w:rFonts w:cs="Arial"/>
          <w:sz w:val="24"/>
        </w:rPr>
        <w:t xml:space="preserve">budget </w:t>
      </w:r>
      <w:r w:rsidR="00BC542D">
        <w:rPr>
          <w:rFonts w:cs="Arial"/>
          <w:sz w:val="24"/>
        </w:rPr>
        <w:t>provision,</w:t>
      </w:r>
      <w:r w:rsidR="00AC634F">
        <w:rPr>
          <w:rFonts w:cs="Arial"/>
          <w:sz w:val="24"/>
        </w:rPr>
        <w:t xml:space="preserve"> </w:t>
      </w:r>
      <w:r w:rsidR="00913A26">
        <w:rPr>
          <w:rFonts w:cs="Arial"/>
          <w:sz w:val="24"/>
        </w:rPr>
        <w:t xml:space="preserve">then </w:t>
      </w:r>
      <w:r w:rsidR="00BC542D">
        <w:rPr>
          <w:rFonts w:cs="Arial"/>
          <w:sz w:val="24"/>
        </w:rPr>
        <w:t>expenditure will</w:t>
      </w:r>
      <w:r w:rsidR="00913A26">
        <w:rPr>
          <w:rFonts w:cs="Arial"/>
          <w:sz w:val="24"/>
        </w:rPr>
        <w:t xml:space="preserve"> be </w:t>
      </w:r>
      <w:r w:rsidR="00BC542D">
        <w:rPr>
          <w:rFonts w:cs="Arial"/>
          <w:sz w:val="24"/>
        </w:rPr>
        <w:t>prioritised,</w:t>
      </w:r>
      <w:r w:rsidR="00913A26">
        <w:rPr>
          <w:rFonts w:cs="Arial"/>
          <w:sz w:val="24"/>
        </w:rPr>
        <w:t xml:space="preserve"> or </w:t>
      </w:r>
      <w:r w:rsidR="00BC542D">
        <w:rPr>
          <w:rFonts w:cs="Arial"/>
          <w:sz w:val="24"/>
        </w:rPr>
        <w:t>activity reduced</w:t>
      </w:r>
      <w:r w:rsidR="00913A26">
        <w:rPr>
          <w:rFonts w:cs="Arial"/>
          <w:sz w:val="24"/>
        </w:rPr>
        <w:t xml:space="preserve"> to ensure spend is</w:t>
      </w:r>
      <w:r w:rsidR="00AC634F">
        <w:rPr>
          <w:rFonts w:cs="Arial"/>
          <w:sz w:val="24"/>
        </w:rPr>
        <w:t xml:space="preserve"> kept</w:t>
      </w:r>
      <w:r w:rsidR="00913A26">
        <w:rPr>
          <w:rFonts w:cs="Arial"/>
          <w:sz w:val="24"/>
        </w:rPr>
        <w:t xml:space="preserve"> within budget. </w:t>
      </w:r>
      <w:r w:rsidR="007B47B1">
        <w:rPr>
          <w:rFonts w:cs="Arial"/>
          <w:sz w:val="24"/>
        </w:rPr>
        <w:t xml:space="preserve">  </w:t>
      </w:r>
      <w:r w:rsidR="007B47B1">
        <w:rPr>
          <w:sz w:val="24"/>
          <w:szCs w:val="24"/>
        </w:rPr>
        <w:t xml:space="preserve">The table shows that the budget shortfall can be funded </w:t>
      </w:r>
      <w:r w:rsidRPr="00E10D43">
        <w:rPr>
          <w:sz w:val="24"/>
          <w:szCs w:val="24"/>
        </w:rPr>
        <w:t>throughout the term of the contract</w:t>
      </w:r>
      <w:r w:rsidR="007B47B1">
        <w:rPr>
          <w:sz w:val="24"/>
          <w:szCs w:val="24"/>
        </w:rPr>
        <w:t>.</w:t>
      </w:r>
      <w:r w:rsidR="00C82707">
        <w:rPr>
          <w:sz w:val="24"/>
          <w:szCs w:val="24"/>
        </w:rPr>
        <w:t xml:space="preserve"> The estimated surpluses generated will be factored into the 2022/23 HRA budget and 30 year Business plan.</w:t>
      </w:r>
      <w:r w:rsidR="001B33D4">
        <w:rPr>
          <w:sz w:val="24"/>
          <w:szCs w:val="24"/>
        </w:rPr>
        <w:t xml:space="preserve"> </w:t>
      </w:r>
    </w:p>
    <w:p w14:paraId="76CB39CD" w14:textId="77777777" w:rsidR="000421F0" w:rsidRPr="005B7FAD" w:rsidRDefault="000421F0" w:rsidP="000421F0">
      <w:pPr>
        <w:pStyle w:val="CommentText"/>
        <w:ind w:left="720" w:hanging="720"/>
        <w:jc w:val="both"/>
        <w:rPr>
          <w:rFonts w:cs="Arial"/>
          <w:sz w:val="24"/>
        </w:rPr>
      </w:pPr>
    </w:p>
    <w:p w14:paraId="6D755EB0" w14:textId="7637D1F3" w:rsidR="000421F0" w:rsidRDefault="000421F0" w:rsidP="000421F0">
      <w:pPr>
        <w:pStyle w:val="CommentText"/>
        <w:ind w:left="720" w:hanging="720"/>
        <w:jc w:val="both"/>
        <w:rPr>
          <w:rFonts w:cs="Arial"/>
          <w:sz w:val="24"/>
        </w:rPr>
      </w:pPr>
      <w:r>
        <w:rPr>
          <w:rFonts w:cs="Arial"/>
          <w:sz w:val="24"/>
        </w:rPr>
        <w:t>4.</w:t>
      </w:r>
      <w:r w:rsidR="001B33D4">
        <w:rPr>
          <w:rFonts w:cs="Arial"/>
          <w:sz w:val="24"/>
        </w:rPr>
        <w:t>7</w:t>
      </w:r>
      <w:r w:rsidRPr="005B7FAD">
        <w:rPr>
          <w:rFonts w:cs="Arial"/>
          <w:sz w:val="24"/>
        </w:rPr>
        <w:tab/>
      </w:r>
      <w:r>
        <w:rPr>
          <w:rFonts w:cs="Arial"/>
          <w:sz w:val="24"/>
        </w:rPr>
        <w:t xml:space="preserve">The contract duration will be 4 years plus an optional 2 years. It </w:t>
      </w:r>
      <w:r w:rsidR="00AC634F">
        <w:rPr>
          <w:rFonts w:cs="Arial"/>
          <w:sz w:val="24"/>
        </w:rPr>
        <w:t>is proposed</w:t>
      </w:r>
      <w:r>
        <w:rPr>
          <w:rFonts w:cs="Arial"/>
          <w:sz w:val="24"/>
        </w:rPr>
        <w:t xml:space="preserve"> to commence the contract</w:t>
      </w:r>
      <w:r w:rsidR="00606018">
        <w:rPr>
          <w:rFonts w:cs="Arial"/>
          <w:sz w:val="24"/>
        </w:rPr>
        <w:t>s</w:t>
      </w:r>
      <w:r>
        <w:rPr>
          <w:rFonts w:cs="Arial"/>
          <w:sz w:val="24"/>
        </w:rPr>
        <w:t xml:space="preserve"> in February 2022</w:t>
      </w:r>
      <w:r w:rsidR="00606018">
        <w:rPr>
          <w:rFonts w:cs="Arial"/>
          <w:sz w:val="24"/>
        </w:rPr>
        <w:t>.</w:t>
      </w:r>
      <w:r>
        <w:rPr>
          <w:rFonts w:cs="Arial"/>
          <w:sz w:val="24"/>
        </w:rPr>
        <w:t xml:space="preserve"> </w:t>
      </w:r>
    </w:p>
    <w:p w14:paraId="4ABE7176" w14:textId="77777777" w:rsidR="000421F0" w:rsidRDefault="000421F0" w:rsidP="000421F0">
      <w:pPr>
        <w:pStyle w:val="CommentText"/>
        <w:ind w:left="720" w:hanging="720"/>
        <w:jc w:val="both"/>
        <w:rPr>
          <w:rFonts w:cs="Arial"/>
          <w:sz w:val="24"/>
        </w:rPr>
      </w:pPr>
      <w:r>
        <w:rPr>
          <w:rFonts w:cs="Arial"/>
          <w:sz w:val="24"/>
        </w:rPr>
        <w:t xml:space="preserve">     </w:t>
      </w:r>
    </w:p>
    <w:p w14:paraId="07138886" w14:textId="5E3484FD" w:rsidR="000421F0" w:rsidRDefault="000421F0" w:rsidP="000421F0">
      <w:pPr>
        <w:pStyle w:val="CommentText"/>
        <w:ind w:left="720" w:hanging="720"/>
        <w:jc w:val="both"/>
        <w:rPr>
          <w:sz w:val="24"/>
        </w:rPr>
      </w:pPr>
      <w:r>
        <w:rPr>
          <w:rFonts w:cs="Arial"/>
          <w:sz w:val="24"/>
        </w:rPr>
        <w:t>4.</w:t>
      </w:r>
      <w:r w:rsidR="001B33D4">
        <w:rPr>
          <w:rFonts w:cs="Arial"/>
          <w:sz w:val="24"/>
        </w:rPr>
        <w:t>8</w:t>
      </w:r>
      <w:r>
        <w:rPr>
          <w:rFonts w:cs="Arial"/>
          <w:sz w:val="24"/>
        </w:rPr>
        <w:t xml:space="preserve">     </w:t>
      </w:r>
      <w:r w:rsidRPr="005B7FAD">
        <w:rPr>
          <w:rFonts w:cs="Arial"/>
          <w:sz w:val="24"/>
          <w:szCs w:val="24"/>
        </w:rPr>
        <w:t xml:space="preserve">New </w:t>
      </w:r>
      <w:r>
        <w:rPr>
          <w:rFonts w:cs="Arial"/>
          <w:sz w:val="24"/>
          <w:szCs w:val="24"/>
        </w:rPr>
        <w:t xml:space="preserve">boiler system capital </w:t>
      </w:r>
      <w:r w:rsidRPr="005B7FAD">
        <w:rPr>
          <w:rFonts w:cs="Arial"/>
          <w:sz w:val="24"/>
          <w:szCs w:val="24"/>
        </w:rPr>
        <w:t xml:space="preserve">installation pricing </w:t>
      </w:r>
      <w:r w:rsidR="00AC634F">
        <w:rPr>
          <w:rFonts w:cs="Arial"/>
          <w:sz w:val="24"/>
          <w:szCs w:val="24"/>
        </w:rPr>
        <w:t>received is</w:t>
      </w:r>
      <w:r>
        <w:rPr>
          <w:rFonts w:cs="Arial"/>
          <w:sz w:val="24"/>
          <w:szCs w:val="24"/>
        </w:rPr>
        <w:t xml:space="preserve"> </w:t>
      </w:r>
      <w:r w:rsidRPr="005B7FAD">
        <w:rPr>
          <w:rFonts w:cs="Arial"/>
          <w:sz w:val="24"/>
          <w:szCs w:val="24"/>
        </w:rPr>
        <w:t>£178,388.12</w:t>
      </w:r>
      <w:r>
        <w:rPr>
          <w:rFonts w:cs="Arial"/>
          <w:sz w:val="24"/>
          <w:szCs w:val="24"/>
        </w:rPr>
        <w:t xml:space="preserve">. Prices submitted are </w:t>
      </w:r>
      <w:r w:rsidRPr="005B7FAD">
        <w:rPr>
          <w:rFonts w:cs="Arial"/>
          <w:sz w:val="24"/>
          <w:szCs w:val="24"/>
        </w:rPr>
        <w:t xml:space="preserve"> within a range of agreed basket rates across a variety of property types for approximately 80 properties.</w:t>
      </w:r>
      <w:r>
        <w:rPr>
          <w:rFonts w:cs="Arial"/>
          <w:sz w:val="24"/>
          <w:szCs w:val="24"/>
        </w:rPr>
        <w:t xml:space="preserve"> This is line with capital funding provision of £180,000 for 2021/22 but as the contract is proposed to commence in February 2022 £15,000 is required for the </w:t>
      </w:r>
      <w:r>
        <w:rPr>
          <w:rFonts w:cs="Arial"/>
          <w:sz w:val="24"/>
          <w:szCs w:val="24"/>
        </w:rPr>
        <w:lastRenderedPageBreak/>
        <w:t>current financial year 2021/2022.</w:t>
      </w:r>
      <w:r w:rsidRPr="00ED5550">
        <w:rPr>
          <w:sz w:val="24"/>
        </w:rPr>
        <w:t xml:space="preserve"> </w:t>
      </w:r>
      <w:r>
        <w:rPr>
          <w:sz w:val="24"/>
        </w:rPr>
        <w:t>The level of boiler replacement and resources required will need to be determined for 2022/23 and contained within the Planned Investment Capital budget for 2022/23 which is currently £5.825m.</w:t>
      </w:r>
    </w:p>
    <w:p w14:paraId="13692931" w14:textId="77777777" w:rsidR="000421F0" w:rsidRDefault="000421F0" w:rsidP="000421F0">
      <w:pPr>
        <w:pStyle w:val="CommentText"/>
        <w:ind w:left="720" w:hanging="720"/>
        <w:jc w:val="both"/>
        <w:rPr>
          <w:rFonts w:cs="Arial"/>
          <w:sz w:val="24"/>
          <w:szCs w:val="24"/>
        </w:rPr>
      </w:pPr>
    </w:p>
    <w:p w14:paraId="445DEC3B" w14:textId="226BB529" w:rsidR="000421F0" w:rsidRDefault="000421F0" w:rsidP="000421F0">
      <w:pPr>
        <w:pStyle w:val="CommentText"/>
        <w:ind w:left="720" w:hanging="720"/>
        <w:jc w:val="both"/>
        <w:rPr>
          <w:rFonts w:cs="Arial"/>
          <w:sz w:val="24"/>
          <w:szCs w:val="24"/>
        </w:rPr>
      </w:pPr>
      <w:r>
        <w:rPr>
          <w:rFonts w:cs="Arial"/>
          <w:sz w:val="24"/>
        </w:rPr>
        <w:t>4.</w:t>
      </w:r>
      <w:r w:rsidR="001B33D4">
        <w:rPr>
          <w:rFonts w:cs="Arial"/>
          <w:sz w:val="24"/>
        </w:rPr>
        <w:t>9</w:t>
      </w:r>
      <w:r w:rsidR="001B33D4">
        <w:rPr>
          <w:rFonts w:cs="Arial"/>
          <w:sz w:val="24"/>
        </w:rPr>
        <w:tab/>
      </w:r>
      <w:r w:rsidRPr="00E10D43">
        <w:rPr>
          <w:rFonts w:cs="Arial"/>
          <w:sz w:val="24"/>
          <w:szCs w:val="24"/>
        </w:rPr>
        <w:t>The capital element of the estimated variable cost is £0.178m per annum will need to be accommodated within the capitalised repairs budget which is set aside for responsive capital repairs that fall outside of the scope of repairs contracts.</w:t>
      </w:r>
    </w:p>
    <w:p w14:paraId="623C6C72" w14:textId="77777777" w:rsidR="000421F0" w:rsidRDefault="000421F0" w:rsidP="000421F0">
      <w:pPr>
        <w:pStyle w:val="CommentText"/>
        <w:ind w:left="720" w:hanging="720"/>
        <w:jc w:val="both"/>
        <w:rPr>
          <w:rFonts w:cs="Arial"/>
          <w:sz w:val="24"/>
          <w:szCs w:val="24"/>
        </w:rPr>
      </w:pPr>
    </w:p>
    <w:p w14:paraId="43194986" w14:textId="1A64814A" w:rsidR="000421F0" w:rsidRDefault="000421F0" w:rsidP="000421F0">
      <w:pPr>
        <w:pStyle w:val="CommentText"/>
        <w:ind w:left="720" w:hanging="720"/>
        <w:jc w:val="both"/>
        <w:rPr>
          <w:rFonts w:cs="Arial"/>
          <w:sz w:val="24"/>
        </w:rPr>
      </w:pPr>
      <w:r w:rsidRPr="004873F4">
        <w:rPr>
          <w:sz w:val="24"/>
          <w:szCs w:val="24"/>
        </w:rPr>
        <w:t>4.</w:t>
      </w:r>
      <w:r w:rsidR="004652AA">
        <w:rPr>
          <w:sz w:val="24"/>
          <w:szCs w:val="24"/>
        </w:rPr>
        <w:t>1</w:t>
      </w:r>
      <w:r w:rsidR="001B33D4">
        <w:rPr>
          <w:sz w:val="24"/>
          <w:szCs w:val="24"/>
        </w:rPr>
        <w:t>0</w:t>
      </w:r>
      <w:r>
        <w:rPr>
          <w:rFonts w:cs="Arial"/>
          <w:sz w:val="24"/>
        </w:rPr>
        <w:tab/>
      </w:r>
      <w:r w:rsidRPr="005B7FAD">
        <w:rPr>
          <w:rFonts w:cs="Arial"/>
          <w:sz w:val="24"/>
        </w:rPr>
        <w:t xml:space="preserve">The price submission for the </w:t>
      </w:r>
      <w:r>
        <w:rPr>
          <w:rFonts w:cs="Arial"/>
          <w:sz w:val="24"/>
        </w:rPr>
        <w:t>commercial gas ser</w:t>
      </w:r>
      <w:r w:rsidRPr="005B7FAD">
        <w:rPr>
          <w:rFonts w:cs="Arial"/>
          <w:sz w:val="24"/>
        </w:rPr>
        <w:t>vic</w:t>
      </w:r>
      <w:r>
        <w:rPr>
          <w:rFonts w:cs="Arial"/>
          <w:sz w:val="24"/>
        </w:rPr>
        <w:t xml:space="preserve">ing </w:t>
      </w:r>
      <w:r w:rsidRPr="005B7FAD">
        <w:rPr>
          <w:rFonts w:cs="Arial"/>
          <w:sz w:val="24"/>
        </w:rPr>
        <w:t xml:space="preserve">and repairs contract </w:t>
      </w:r>
      <w:r>
        <w:rPr>
          <w:rFonts w:cs="Arial"/>
          <w:sz w:val="24"/>
        </w:rPr>
        <w:t xml:space="preserve">with Thermoserve is </w:t>
      </w:r>
      <w:r w:rsidRPr="001357EB">
        <w:rPr>
          <w:sz w:val="24"/>
          <w:szCs w:val="24"/>
        </w:rPr>
        <w:t>£551,234.00</w:t>
      </w:r>
      <w:r>
        <w:rPr>
          <w:sz w:val="24"/>
          <w:szCs w:val="24"/>
        </w:rPr>
        <w:t xml:space="preserve"> p.a. and h</w:t>
      </w:r>
      <w:r w:rsidRPr="005B7FAD">
        <w:rPr>
          <w:rFonts w:cs="Arial"/>
          <w:sz w:val="24"/>
        </w:rPr>
        <w:t xml:space="preserve">as returned a higher tender value </w:t>
      </w:r>
      <w:r w:rsidRPr="008E2D25">
        <w:rPr>
          <w:rFonts w:cs="Arial"/>
          <w:sz w:val="24"/>
        </w:rPr>
        <w:t xml:space="preserve">of </w:t>
      </w:r>
      <w:r w:rsidRPr="001357EB">
        <w:rPr>
          <w:sz w:val="24"/>
          <w:szCs w:val="24"/>
        </w:rPr>
        <w:t>£</w:t>
      </w:r>
      <w:r>
        <w:rPr>
          <w:rFonts w:cs="Arial"/>
          <w:sz w:val="24"/>
        </w:rPr>
        <w:t>48,778 compared to the available budget.</w:t>
      </w:r>
    </w:p>
    <w:p w14:paraId="7E15310B" w14:textId="77777777" w:rsidR="000421F0" w:rsidRDefault="000421F0" w:rsidP="000421F0">
      <w:pPr>
        <w:pStyle w:val="CommentText"/>
        <w:ind w:left="720" w:hanging="720"/>
        <w:jc w:val="both"/>
        <w:rPr>
          <w:rFonts w:cs="Arial"/>
          <w:sz w:val="24"/>
        </w:rPr>
      </w:pPr>
    </w:p>
    <w:p w14:paraId="3C267A0A" w14:textId="026DA8DD" w:rsidR="000421F0" w:rsidRDefault="000421F0" w:rsidP="000421F0">
      <w:pPr>
        <w:pStyle w:val="CommentText"/>
        <w:ind w:left="720" w:hanging="720"/>
        <w:jc w:val="both"/>
        <w:rPr>
          <w:rFonts w:cs="Arial"/>
          <w:sz w:val="24"/>
        </w:rPr>
      </w:pPr>
      <w:r>
        <w:rPr>
          <w:rFonts w:cs="Arial"/>
          <w:sz w:val="24"/>
        </w:rPr>
        <w:t>4.1</w:t>
      </w:r>
      <w:r w:rsidR="001B33D4">
        <w:rPr>
          <w:rFonts w:cs="Arial"/>
          <w:sz w:val="24"/>
        </w:rPr>
        <w:t>1</w:t>
      </w:r>
      <w:r>
        <w:rPr>
          <w:rFonts w:cs="Arial"/>
          <w:sz w:val="24"/>
        </w:rPr>
        <w:tab/>
        <w:t>The contract duration will be 4 years plus an optional 2 years. It  proposed to commence the contract  in February 2022</w:t>
      </w:r>
      <w:r w:rsidR="00B46413">
        <w:rPr>
          <w:rFonts w:cs="Arial"/>
          <w:sz w:val="24"/>
        </w:rPr>
        <w:t>.</w:t>
      </w:r>
      <w:r>
        <w:rPr>
          <w:rFonts w:cs="Arial"/>
          <w:sz w:val="24"/>
        </w:rPr>
        <w:t xml:space="preserve"> </w:t>
      </w:r>
    </w:p>
    <w:p w14:paraId="4FB93CBB" w14:textId="3ACE357C" w:rsidR="000421F0" w:rsidRDefault="000421F0" w:rsidP="00B32326">
      <w:pPr>
        <w:ind w:left="720" w:hanging="720"/>
        <w:jc w:val="both"/>
        <w:rPr>
          <w:szCs w:val="24"/>
        </w:rPr>
      </w:pPr>
    </w:p>
    <w:p w14:paraId="11BB5806" w14:textId="21104417" w:rsidR="00B10BF9" w:rsidRPr="005C3191" w:rsidRDefault="0059630E" w:rsidP="00744CFE">
      <w:pPr>
        <w:pStyle w:val="Heading4"/>
        <w:rPr>
          <w:szCs w:val="24"/>
        </w:rPr>
      </w:pPr>
      <w:r w:rsidRPr="005C3191">
        <w:rPr>
          <w:szCs w:val="24"/>
        </w:rPr>
        <w:t>5.0</w:t>
      </w:r>
      <w:r w:rsidRPr="005C3191">
        <w:rPr>
          <w:szCs w:val="24"/>
        </w:rPr>
        <w:tab/>
      </w:r>
      <w:r w:rsidR="00744CFE" w:rsidRPr="005C3191">
        <w:rPr>
          <w:szCs w:val="24"/>
        </w:rPr>
        <w:t>Staffing and Resources</w:t>
      </w:r>
    </w:p>
    <w:p w14:paraId="4F212DE2" w14:textId="1D24396A" w:rsidR="00744CFE" w:rsidRPr="0046421C" w:rsidRDefault="00744CFE" w:rsidP="00744CFE">
      <w:pPr>
        <w:pStyle w:val="Heading4"/>
        <w:rPr>
          <w:strike/>
          <w:color w:val="0000FF"/>
          <w:szCs w:val="24"/>
        </w:rPr>
      </w:pPr>
      <w:r w:rsidRPr="0046421C">
        <w:rPr>
          <w:strike/>
          <w:color w:val="0000FF"/>
          <w:szCs w:val="24"/>
        </w:rPr>
        <w:t xml:space="preserve"> </w:t>
      </w:r>
    </w:p>
    <w:p w14:paraId="1C9D8CD8" w14:textId="1B8E48B2" w:rsidR="00CF6406" w:rsidRDefault="005D77B8" w:rsidP="00944A39">
      <w:pPr>
        <w:ind w:left="720" w:hanging="720"/>
        <w:jc w:val="both"/>
        <w:rPr>
          <w:bCs/>
        </w:rPr>
      </w:pPr>
      <w:r>
        <w:rPr>
          <w:bCs/>
        </w:rPr>
        <w:t>5.1</w:t>
      </w:r>
      <w:r>
        <w:rPr>
          <w:bCs/>
        </w:rPr>
        <w:tab/>
      </w:r>
      <w:r w:rsidR="00FC63A4">
        <w:rPr>
          <w:bCs/>
        </w:rPr>
        <w:t xml:space="preserve">There is an existing structure in place within the repairs and maintenance </w:t>
      </w:r>
      <w:r w:rsidR="006F14DE">
        <w:rPr>
          <w:bCs/>
        </w:rPr>
        <w:t xml:space="preserve">team </w:t>
      </w:r>
      <w:r w:rsidR="00FC63A4">
        <w:rPr>
          <w:bCs/>
        </w:rPr>
        <w:t xml:space="preserve">with </w:t>
      </w:r>
      <w:r w:rsidR="006F14DE">
        <w:rPr>
          <w:bCs/>
        </w:rPr>
        <w:t xml:space="preserve">sufficient and trained </w:t>
      </w:r>
      <w:r w:rsidR="00FC63A4">
        <w:rPr>
          <w:bCs/>
        </w:rPr>
        <w:t xml:space="preserve">personnel to </w:t>
      </w:r>
      <w:r w:rsidR="004E76BC">
        <w:rPr>
          <w:bCs/>
        </w:rPr>
        <w:t xml:space="preserve">contract manage both domestic and commercial gas contracts in line </w:t>
      </w:r>
      <w:r w:rsidR="006F14DE">
        <w:rPr>
          <w:bCs/>
        </w:rPr>
        <w:t xml:space="preserve">with </w:t>
      </w:r>
      <w:r w:rsidR="00315FA8">
        <w:rPr>
          <w:bCs/>
        </w:rPr>
        <w:t>contract requirements and council contract management procedures</w:t>
      </w:r>
    </w:p>
    <w:p w14:paraId="3C878F8F" w14:textId="77777777" w:rsidR="00315FA8" w:rsidRDefault="00315FA8" w:rsidP="00944A39">
      <w:pPr>
        <w:ind w:left="720" w:hanging="720"/>
        <w:jc w:val="both"/>
        <w:rPr>
          <w:bCs/>
        </w:rPr>
      </w:pPr>
    </w:p>
    <w:p w14:paraId="2BE37F10" w14:textId="37B62D45" w:rsidR="000421F0" w:rsidRDefault="00CF6406" w:rsidP="000421F0">
      <w:pPr>
        <w:pStyle w:val="CommentText"/>
        <w:ind w:left="720" w:hanging="720"/>
        <w:jc w:val="both"/>
        <w:rPr>
          <w:rFonts w:cs="Arial"/>
          <w:sz w:val="24"/>
        </w:rPr>
      </w:pPr>
      <w:r>
        <w:rPr>
          <w:bCs/>
        </w:rPr>
        <w:t xml:space="preserve">5.4    </w:t>
      </w:r>
      <w:r w:rsidR="00AD0062">
        <w:rPr>
          <w:bCs/>
        </w:rPr>
        <w:t xml:space="preserve"> </w:t>
      </w:r>
      <w:r w:rsidR="000421F0">
        <w:rPr>
          <w:bCs/>
        </w:rPr>
        <w:tab/>
      </w:r>
      <w:r w:rsidR="000421F0">
        <w:rPr>
          <w:rFonts w:cs="Arial"/>
          <w:sz w:val="24"/>
        </w:rPr>
        <w:t>No consultancy fees under the Fusion 21 framework agreement will be passed on to the Council. These will be fully met under the terms of the framework agreement by Liberty Group and Thermoserve.</w:t>
      </w:r>
    </w:p>
    <w:p w14:paraId="7BA233C5" w14:textId="60748B64" w:rsidR="00CF6406" w:rsidRDefault="00CF6406" w:rsidP="00944A39">
      <w:pPr>
        <w:ind w:left="720" w:hanging="720"/>
        <w:jc w:val="both"/>
        <w:rPr>
          <w:bCs/>
        </w:rPr>
      </w:pPr>
    </w:p>
    <w:p w14:paraId="55CCBFCB" w14:textId="6E60247C" w:rsidR="00511B06" w:rsidRDefault="000421F0" w:rsidP="00511B06">
      <w:pPr>
        <w:pStyle w:val="CommentText"/>
        <w:ind w:left="720" w:hanging="720"/>
        <w:jc w:val="both"/>
        <w:rPr>
          <w:rFonts w:cs="Arial"/>
          <w:sz w:val="24"/>
        </w:rPr>
      </w:pPr>
      <w:r>
        <w:rPr>
          <w:rFonts w:cs="Arial"/>
          <w:sz w:val="24"/>
        </w:rPr>
        <w:t>5</w:t>
      </w:r>
      <w:r w:rsidR="00511B06">
        <w:rPr>
          <w:rFonts w:cs="Arial"/>
          <w:sz w:val="24"/>
        </w:rPr>
        <w:t>.2     Contract mobilisation and implementation costs will be met by  Liberty Group and Thermoserve and no charges will be passed on to the Council.</w:t>
      </w:r>
    </w:p>
    <w:p w14:paraId="2AE6C090" w14:textId="77777777" w:rsidR="00511B06" w:rsidRDefault="00511B06" w:rsidP="00511B06">
      <w:pPr>
        <w:pStyle w:val="CommentText"/>
        <w:ind w:left="720" w:hanging="720"/>
        <w:jc w:val="both"/>
        <w:rPr>
          <w:rFonts w:cs="Arial"/>
          <w:sz w:val="24"/>
        </w:rPr>
      </w:pPr>
    </w:p>
    <w:p w14:paraId="71762AC7" w14:textId="77193846" w:rsidR="00511B06" w:rsidRDefault="000421F0" w:rsidP="00511B06">
      <w:pPr>
        <w:pStyle w:val="CommentText"/>
        <w:ind w:left="720" w:hanging="720"/>
        <w:jc w:val="both"/>
        <w:rPr>
          <w:rFonts w:cs="Arial"/>
          <w:sz w:val="24"/>
        </w:rPr>
      </w:pPr>
      <w:r>
        <w:rPr>
          <w:rFonts w:cs="Arial"/>
          <w:sz w:val="24"/>
        </w:rPr>
        <w:t>5</w:t>
      </w:r>
      <w:r w:rsidR="00511B06">
        <w:rPr>
          <w:rFonts w:cs="Arial"/>
          <w:sz w:val="24"/>
        </w:rPr>
        <w:t xml:space="preserve">.3       It is our intention to recruit  a project manager on an interim basis for 16 weeks to ensure there is a smooth transition of services from the incumbent contractor to both Liberty Group and Thermoserve. The Project Manager will work with Fusion 21 consultants to  manage the mobilisation  during this transitional period. This will ensure that contract commitments, adherence to contract specification with joint management arrangements are robust and planned for in advance. </w:t>
      </w:r>
    </w:p>
    <w:p w14:paraId="5D5405A8" w14:textId="77777777" w:rsidR="00511B06" w:rsidRDefault="00511B06" w:rsidP="00511B06">
      <w:pPr>
        <w:pStyle w:val="CommentText"/>
        <w:ind w:left="720" w:hanging="720"/>
        <w:jc w:val="both"/>
        <w:rPr>
          <w:rFonts w:cs="Arial"/>
          <w:sz w:val="24"/>
        </w:rPr>
      </w:pPr>
    </w:p>
    <w:p w14:paraId="7B69F77D" w14:textId="5DD13611" w:rsidR="00511B06" w:rsidRDefault="00511B06" w:rsidP="00511B06">
      <w:pPr>
        <w:pStyle w:val="CommentText"/>
        <w:ind w:left="720" w:hanging="720"/>
        <w:jc w:val="both"/>
        <w:rPr>
          <w:rFonts w:cs="Arial"/>
          <w:sz w:val="24"/>
        </w:rPr>
      </w:pPr>
      <w:r>
        <w:rPr>
          <w:rFonts w:cs="Arial"/>
          <w:sz w:val="24"/>
        </w:rPr>
        <w:t xml:space="preserve"> </w:t>
      </w:r>
      <w:r w:rsidR="000421F0">
        <w:rPr>
          <w:rFonts w:cs="Arial"/>
          <w:sz w:val="24"/>
        </w:rPr>
        <w:t>5</w:t>
      </w:r>
      <w:r>
        <w:rPr>
          <w:rFonts w:cs="Arial"/>
          <w:sz w:val="24"/>
        </w:rPr>
        <w:t>.4</w:t>
      </w:r>
      <w:r>
        <w:rPr>
          <w:rFonts w:cs="Arial"/>
          <w:sz w:val="24"/>
        </w:rPr>
        <w:tab/>
        <w:t xml:space="preserve">Areas of activity will include organisation’s structure and resourcing, IT systems, financial control, performance management,  quality management systems, resident communications, customer care and satisfaction, social values and climate change initiatives. </w:t>
      </w:r>
    </w:p>
    <w:p w14:paraId="2B48611C" w14:textId="77777777" w:rsidR="00511B06" w:rsidRDefault="00511B06" w:rsidP="00511B06">
      <w:pPr>
        <w:pStyle w:val="CommentText"/>
        <w:ind w:left="720" w:hanging="720"/>
        <w:jc w:val="both"/>
        <w:rPr>
          <w:rFonts w:cs="Arial"/>
          <w:sz w:val="24"/>
        </w:rPr>
      </w:pPr>
    </w:p>
    <w:p w14:paraId="12C23BD4" w14:textId="0E1F2A36" w:rsidR="00511B06" w:rsidRDefault="000421F0" w:rsidP="00511B06">
      <w:pPr>
        <w:pStyle w:val="CommentText"/>
        <w:ind w:left="720" w:hanging="720"/>
        <w:jc w:val="both"/>
        <w:rPr>
          <w:sz w:val="24"/>
          <w:szCs w:val="24"/>
        </w:rPr>
      </w:pPr>
      <w:r>
        <w:rPr>
          <w:rFonts w:cs="Arial"/>
          <w:sz w:val="24"/>
        </w:rPr>
        <w:t>5</w:t>
      </w:r>
      <w:r w:rsidR="00511B06">
        <w:rPr>
          <w:rFonts w:cs="Arial"/>
          <w:sz w:val="24"/>
        </w:rPr>
        <w:t>.5</w:t>
      </w:r>
      <w:r w:rsidR="00511B06">
        <w:rPr>
          <w:rFonts w:cs="Arial"/>
          <w:sz w:val="24"/>
        </w:rPr>
        <w:tab/>
        <w:t xml:space="preserve">A one off maximum budget provision of £35,000 will be required in 2021/22 and it is proposed to fund this from the </w:t>
      </w:r>
      <w:r w:rsidR="00511B06" w:rsidRPr="004873F4">
        <w:rPr>
          <w:sz w:val="24"/>
          <w:szCs w:val="24"/>
        </w:rPr>
        <w:t xml:space="preserve">HRA repairs reserve </w:t>
      </w:r>
      <w:r w:rsidR="00511B06">
        <w:rPr>
          <w:sz w:val="24"/>
          <w:szCs w:val="24"/>
        </w:rPr>
        <w:t>which has a current balance of £278,000 as at end of 2020/21</w:t>
      </w:r>
      <w:r w:rsidR="00885660">
        <w:rPr>
          <w:sz w:val="24"/>
          <w:szCs w:val="24"/>
        </w:rPr>
        <w:t>.</w:t>
      </w:r>
    </w:p>
    <w:p w14:paraId="67CC8677" w14:textId="4B162682" w:rsidR="00A0235A" w:rsidRDefault="00A0235A" w:rsidP="00944A39">
      <w:pPr>
        <w:ind w:left="720" w:hanging="720"/>
        <w:jc w:val="both"/>
        <w:rPr>
          <w:bCs/>
        </w:rPr>
      </w:pPr>
    </w:p>
    <w:p w14:paraId="14D9A888" w14:textId="6BA935DA" w:rsidR="000913A5" w:rsidRDefault="00A0235A" w:rsidP="000D0F7F">
      <w:pPr>
        <w:pStyle w:val="Heading4"/>
        <w:numPr>
          <w:ilvl w:val="0"/>
          <w:numId w:val="18"/>
        </w:numPr>
        <w:jc w:val="both"/>
        <w:rPr>
          <w:szCs w:val="24"/>
        </w:rPr>
      </w:pPr>
      <w:r>
        <w:rPr>
          <w:bCs/>
        </w:rPr>
        <w:t xml:space="preserve">    </w:t>
      </w:r>
      <w:r w:rsidR="00702E3B">
        <w:rPr>
          <w:bCs/>
        </w:rPr>
        <w:t xml:space="preserve">  </w:t>
      </w:r>
      <w:r w:rsidR="000913A5" w:rsidRPr="000913A5">
        <w:rPr>
          <w:szCs w:val="24"/>
        </w:rPr>
        <w:t>Environmental Implications</w:t>
      </w:r>
    </w:p>
    <w:p w14:paraId="35A4A203" w14:textId="77777777" w:rsidR="00250126" w:rsidRDefault="00250126" w:rsidP="00944A39">
      <w:pPr>
        <w:jc w:val="both"/>
      </w:pPr>
    </w:p>
    <w:p w14:paraId="5E828B90" w14:textId="77777777" w:rsidR="00885660" w:rsidRDefault="00B63F04" w:rsidP="00885660">
      <w:pPr>
        <w:jc w:val="both"/>
      </w:pPr>
      <w:r>
        <w:t xml:space="preserve">6.1   </w:t>
      </w:r>
      <w:r w:rsidR="0048531A">
        <w:tab/>
      </w:r>
      <w:r w:rsidR="00746559">
        <w:t xml:space="preserve">At mobilisation stage </w:t>
      </w:r>
      <w:r w:rsidR="00746559" w:rsidRPr="000913A5">
        <w:t xml:space="preserve">we will </w:t>
      </w:r>
      <w:r w:rsidR="00746559">
        <w:t xml:space="preserve">detail </w:t>
      </w:r>
      <w:r w:rsidR="00885660" w:rsidRPr="000913A5">
        <w:t>any potential</w:t>
      </w:r>
      <w:r w:rsidR="00746559" w:rsidRPr="000913A5">
        <w:t xml:space="preserve"> for innovation for the </w:t>
      </w:r>
      <w:r w:rsidR="00885660">
        <w:t xml:space="preserve">   </w:t>
      </w:r>
    </w:p>
    <w:p w14:paraId="35D8446B" w14:textId="764AC396" w:rsidR="00AC554D" w:rsidRPr="000913A5" w:rsidRDefault="00885660" w:rsidP="00885660">
      <w:pPr>
        <w:ind w:left="720" w:hanging="720"/>
        <w:jc w:val="both"/>
        <w:rPr>
          <w:iCs/>
        </w:rPr>
      </w:pPr>
      <w:r>
        <w:lastRenderedPageBreak/>
        <w:t xml:space="preserve">           </w:t>
      </w:r>
      <w:r w:rsidR="00746559" w:rsidRPr="000913A5">
        <w:t xml:space="preserve">duration of the new contract term that will </w:t>
      </w:r>
      <w:r w:rsidR="003C1538">
        <w:t>f</w:t>
      </w:r>
      <w:r w:rsidR="00746559" w:rsidRPr="000913A5">
        <w:t>eed into the Council’s Climate emergency policy toward our goals of being</w:t>
      </w:r>
      <w:r w:rsidR="0048531A">
        <w:t xml:space="preserve"> </w:t>
      </w:r>
      <w:r w:rsidR="00746559" w:rsidRPr="000913A5">
        <w:t xml:space="preserve">carbon neutral by 2030. </w:t>
      </w:r>
      <w:r w:rsidR="00746559">
        <w:t xml:space="preserve"> </w:t>
      </w:r>
      <w:r w:rsidR="00250126" w:rsidRPr="00250126">
        <w:rPr>
          <w:iCs/>
        </w:rPr>
        <w:t>Liberty Group and</w:t>
      </w:r>
      <w:r w:rsidR="000F630D">
        <w:rPr>
          <w:iCs/>
        </w:rPr>
        <w:t xml:space="preserve"> </w:t>
      </w:r>
      <w:r w:rsidR="00250126" w:rsidRPr="00250126">
        <w:rPr>
          <w:iCs/>
        </w:rPr>
        <w:t>Thermoserve will contribute to the Council’s</w:t>
      </w:r>
      <w:r w:rsidR="00B63F04">
        <w:rPr>
          <w:iCs/>
        </w:rPr>
        <w:t xml:space="preserve"> </w:t>
      </w:r>
      <w:r w:rsidR="00250126" w:rsidRPr="00250126">
        <w:rPr>
          <w:iCs/>
        </w:rPr>
        <w:t>objectives around social, economic and</w:t>
      </w:r>
      <w:r w:rsidR="005465AD">
        <w:rPr>
          <w:iCs/>
        </w:rPr>
        <w:t xml:space="preserve"> </w:t>
      </w:r>
      <w:r w:rsidR="00032CFD">
        <w:rPr>
          <w:iCs/>
        </w:rPr>
        <w:t>e</w:t>
      </w:r>
      <w:r w:rsidR="00250126" w:rsidRPr="00250126">
        <w:rPr>
          <w:iCs/>
        </w:rPr>
        <w:t xml:space="preserve">nvironmental sustainability. </w:t>
      </w:r>
      <w:r w:rsidR="00250126">
        <w:rPr>
          <w:iCs/>
        </w:rPr>
        <w:t xml:space="preserve"> </w:t>
      </w:r>
      <w:r w:rsidR="0086281E">
        <w:rPr>
          <w:iCs/>
        </w:rPr>
        <w:t>Both contractors have provided their costs</w:t>
      </w:r>
      <w:r w:rsidR="00032CFD">
        <w:rPr>
          <w:iCs/>
        </w:rPr>
        <w:t xml:space="preserve"> </w:t>
      </w:r>
      <w:r w:rsidR="0086281E">
        <w:rPr>
          <w:iCs/>
        </w:rPr>
        <w:t>for servicing and maintenance of air</w:t>
      </w:r>
      <w:r w:rsidR="0099132E">
        <w:rPr>
          <w:iCs/>
        </w:rPr>
        <w:t xml:space="preserve">-source </w:t>
      </w:r>
      <w:r w:rsidR="00702A29">
        <w:rPr>
          <w:iCs/>
        </w:rPr>
        <w:t>a</w:t>
      </w:r>
      <w:r w:rsidR="0099132E">
        <w:rPr>
          <w:iCs/>
        </w:rPr>
        <w:t>nd ground-source heat pumps</w:t>
      </w:r>
      <w:r w:rsidR="00A77E87">
        <w:rPr>
          <w:iCs/>
        </w:rPr>
        <w:t>.</w:t>
      </w:r>
      <w:r w:rsidR="0099132E">
        <w:rPr>
          <w:iCs/>
        </w:rPr>
        <w:t xml:space="preserve"> </w:t>
      </w:r>
      <w:r w:rsidR="00AC554D" w:rsidRPr="000913A5">
        <w:rPr>
          <w:iCs/>
        </w:rPr>
        <w:t xml:space="preserve">Where practical the scheme will use products that will help reduce the Council’s </w:t>
      </w:r>
      <w:r w:rsidR="00072D53">
        <w:rPr>
          <w:iCs/>
        </w:rPr>
        <w:t>c</w:t>
      </w:r>
      <w:r w:rsidR="00AC554D" w:rsidRPr="000913A5">
        <w:rPr>
          <w:iCs/>
        </w:rPr>
        <w:t>arbon footprint.</w:t>
      </w:r>
      <w:r w:rsidR="00AC554D">
        <w:rPr>
          <w:iCs/>
        </w:rPr>
        <w:t xml:space="preserve"> </w:t>
      </w:r>
      <w:r w:rsidR="00AC554D" w:rsidRPr="001C64C0">
        <w:rPr>
          <w:iCs/>
        </w:rPr>
        <w:t>There is a</w:t>
      </w:r>
      <w:r w:rsidR="006003F1">
        <w:rPr>
          <w:iCs/>
        </w:rPr>
        <w:t xml:space="preserve"> </w:t>
      </w:r>
      <w:r w:rsidR="00AC554D" w:rsidRPr="001C64C0">
        <w:rPr>
          <w:iCs/>
        </w:rPr>
        <w:t xml:space="preserve">requirement for Liberty Group and </w:t>
      </w:r>
      <w:r>
        <w:rPr>
          <w:iCs/>
        </w:rPr>
        <w:t xml:space="preserve">   </w:t>
      </w:r>
      <w:r w:rsidR="00AC554D" w:rsidRPr="001C64C0">
        <w:rPr>
          <w:iCs/>
        </w:rPr>
        <w:t xml:space="preserve">Thermoserve to </w:t>
      </w:r>
      <w:r w:rsidR="00B4156E">
        <w:rPr>
          <w:iCs/>
        </w:rPr>
        <w:t>en</w:t>
      </w:r>
      <w:r w:rsidR="00AC554D" w:rsidRPr="001C64C0">
        <w:rPr>
          <w:iCs/>
        </w:rPr>
        <w:t>gage with local businesses to ensure that materials purchased are manufactured ethically</w:t>
      </w:r>
      <w:r w:rsidR="00AC554D" w:rsidRPr="009747F7">
        <w:rPr>
          <w:iCs/>
          <w:color w:val="000000" w:themeColor="text1"/>
          <w:u w:val="single"/>
        </w:rPr>
        <w:t>.</w:t>
      </w:r>
      <w:r w:rsidR="00AC554D" w:rsidRPr="000913A5">
        <w:rPr>
          <w:iCs/>
          <w:color w:val="0000FF"/>
          <w:u w:val="single"/>
        </w:rPr>
        <w:t xml:space="preserve"> </w:t>
      </w:r>
    </w:p>
    <w:p w14:paraId="49064587" w14:textId="191909F1" w:rsidR="000913A5" w:rsidRPr="000913A5" w:rsidRDefault="000913A5" w:rsidP="00250126">
      <w:pPr>
        <w:jc w:val="both"/>
        <w:rPr>
          <w:iCs/>
        </w:rPr>
      </w:pPr>
    </w:p>
    <w:p w14:paraId="485DFDDC" w14:textId="3931D363" w:rsidR="003911F9" w:rsidRPr="00BE12CF" w:rsidRDefault="00250126" w:rsidP="00944A39">
      <w:pPr>
        <w:ind w:left="720" w:hanging="720"/>
        <w:jc w:val="both"/>
        <w:rPr>
          <w:iCs/>
        </w:rPr>
      </w:pPr>
      <w:r>
        <w:rPr>
          <w:iCs/>
        </w:rPr>
        <w:t xml:space="preserve">6.2 </w:t>
      </w:r>
      <w:r w:rsidR="000913A5" w:rsidRPr="000913A5">
        <w:rPr>
          <w:iCs/>
        </w:rPr>
        <w:tab/>
        <w:t>Environmental considerations have extra significance as the Council has declared a Climate Emergency.  As such the Council have started moving towards ensuring carbon neutrality.</w:t>
      </w:r>
      <w:r w:rsidR="000913A5" w:rsidRPr="000913A5">
        <w:rPr>
          <w:iCs/>
          <w:color w:val="0000FF"/>
          <w:u w:val="single"/>
        </w:rPr>
        <w:t xml:space="preserve"> </w:t>
      </w:r>
      <w:r w:rsidR="000913A5" w:rsidRPr="00BE12CF">
        <w:rPr>
          <w:iCs/>
        </w:rPr>
        <w:t>With the Council declaring a Climate change emergency we will work together with all partners to ensure that measures we are putting in place are compliant with this policy, either by achieving carbon neutrality or energy efficiency in provision of materials transportation and recycling.</w:t>
      </w:r>
      <w:r w:rsidR="00BE12CF">
        <w:rPr>
          <w:iCs/>
        </w:rPr>
        <w:t xml:space="preserve"> </w:t>
      </w:r>
      <w:r w:rsidR="003911F9" w:rsidRPr="00BE12CF">
        <w:rPr>
          <w:iCs/>
        </w:rPr>
        <w:t xml:space="preserve">There are provisions in the contract to bid </w:t>
      </w:r>
      <w:r w:rsidR="00E91FE7" w:rsidRPr="00BE12CF">
        <w:rPr>
          <w:iCs/>
        </w:rPr>
        <w:t>for air-source, ground source and solar energy and for on-going maintenance</w:t>
      </w:r>
      <w:r w:rsidR="009C6D20">
        <w:rPr>
          <w:iCs/>
        </w:rPr>
        <w:t>.</w:t>
      </w:r>
    </w:p>
    <w:p w14:paraId="787B5873" w14:textId="77777777" w:rsidR="000913A5" w:rsidRPr="000913A5" w:rsidRDefault="000913A5" w:rsidP="00944A39">
      <w:pPr>
        <w:jc w:val="both"/>
      </w:pPr>
    </w:p>
    <w:p w14:paraId="2EFD3E8C" w14:textId="4D905851" w:rsidR="000913A5" w:rsidRDefault="00250126" w:rsidP="00944A39">
      <w:pPr>
        <w:ind w:left="720" w:hanging="720"/>
        <w:jc w:val="both"/>
        <w:rPr>
          <w:iCs/>
        </w:rPr>
      </w:pPr>
      <w:r>
        <w:rPr>
          <w:iCs/>
        </w:rPr>
        <w:t>6.3</w:t>
      </w:r>
      <w:r w:rsidR="000913A5" w:rsidRPr="000913A5">
        <w:rPr>
          <w:iCs/>
        </w:rPr>
        <w:tab/>
      </w:r>
      <w:r w:rsidR="002E274E">
        <w:rPr>
          <w:iCs/>
        </w:rPr>
        <w:t>Liberty Gr</w:t>
      </w:r>
      <w:r w:rsidR="002B7001">
        <w:rPr>
          <w:iCs/>
        </w:rPr>
        <w:t xml:space="preserve">oup and Thermoserve will be </w:t>
      </w:r>
      <w:r w:rsidR="000913A5" w:rsidRPr="000913A5">
        <w:rPr>
          <w:iCs/>
        </w:rPr>
        <w:t>signed up to the Considerate Contractor Scheme and once we are at the appropriate stage</w:t>
      </w:r>
      <w:r w:rsidR="006C6566">
        <w:rPr>
          <w:iCs/>
        </w:rPr>
        <w:t xml:space="preserve"> and are committed to </w:t>
      </w:r>
      <w:r w:rsidR="000913A5" w:rsidRPr="000913A5">
        <w:rPr>
          <w:iCs/>
        </w:rPr>
        <w:t xml:space="preserve">the environment and sustainability.  </w:t>
      </w:r>
    </w:p>
    <w:p w14:paraId="00D2C972" w14:textId="3186CEDD" w:rsidR="00B9110F" w:rsidRDefault="00B9110F" w:rsidP="00944A39">
      <w:pPr>
        <w:ind w:left="720" w:hanging="720"/>
        <w:jc w:val="both"/>
        <w:rPr>
          <w:iCs/>
        </w:rPr>
      </w:pPr>
    </w:p>
    <w:p w14:paraId="3020D414" w14:textId="1CFCBE04" w:rsidR="00B9110F" w:rsidRDefault="00B9110F" w:rsidP="00B9110F">
      <w:pPr>
        <w:jc w:val="both"/>
        <w:rPr>
          <w:iCs/>
        </w:rPr>
      </w:pPr>
      <w:r>
        <w:rPr>
          <w:iCs/>
        </w:rPr>
        <w:t xml:space="preserve">6.4     </w:t>
      </w:r>
      <w:r w:rsidRPr="00250126">
        <w:rPr>
          <w:iCs/>
        </w:rPr>
        <w:t xml:space="preserve">The Council intends to do all it can to ensure that its contractors continue </w:t>
      </w:r>
      <w:r>
        <w:rPr>
          <w:iCs/>
        </w:rPr>
        <w:t xml:space="preserve">  </w:t>
      </w:r>
    </w:p>
    <w:p w14:paraId="7674C952" w14:textId="2712516F" w:rsidR="00B9110F" w:rsidRDefault="00B9110F" w:rsidP="00B9110F">
      <w:pPr>
        <w:jc w:val="both"/>
        <w:rPr>
          <w:iCs/>
        </w:rPr>
      </w:pPr>
      <w:r>
        <w:rPr>
          <w:iCs/>
        </w:rPr>
        <w:t xml:space="preserve">          </w:t>
      </w:r>
      <w:r w:rsidRPr="00250126">
        <w:rPr>
          <w:iCs/>
        </w:rPr>
        <w:t xml:space="preserve">to support Harrow’s economy by encouraging spend locally wherever </w:t>
      </w:r>
    </w:p>
    <w:p w14:paraId="795C489F" w14:textId="77777777" w:rsidR="00B9110F" w:rsidRDefault="00B9110F" w:rsidP="00B9110F">
      <w:pPr>
        <w:jc w:val="both"/>
        <w:rPr>
          <w:iCs/>
        </w:rPr>
      </w:pPr>
      <w:r>
        <w:rPr>
          <w:iCs/>
        </w:rPr>
        <w:t xml:space="preserve">          </w:t>
      </w:r>
      <w:r w:rsidRPr="00250126">
        <w:rPr>
          <w:iCs/>
        </w:rPr>
        <w:t xml:space="preserve">practical and maximise opportunities for local people in employment and </w:t>
      </w:r>
    </w:p>
    <w:p w14:paraId="645AE316" w14:textId="77777777" w:rsidR="00B9110F" w:rsidRPr="00250126" w:rsidRDefault="00B9110F" w:rsidP="00B9110F">
      <w:pPr>
        <w:jc w:val="both"/>
        <w:rPr>
          <w:iCs/>
        </w:rPr>
      </w:pPr>
      <w:r>
        <w:rPr>
          <w:iCs/>
        </w:rPr>
        <w:t xml:space="preserve">          </w:t>
      </w:r>
      <w:r w:rsidRPr="00250126">
        <w:rPr>
          <w:iCs/>
        </w:rPr>
        <w:t xml:space="preserve">training. </w:t>
      </w:r>
    </w:p>
    <w:p w14:paraId="4455439F" w14:textId="77777777" w:rsidR="000913A5" w:rsidRPr="000913A5" w:rsidRDefault="000913A5" w:rsidP="00944A39">
      <w:pPr>
        <w:jc w:val="both"/>
        <w:rPr>
          <w:iCs/>
        </w:rPr>
      </w:pPr>
    </w:p>
    <w:p w14:paraId="42A9E62D" w14:textId="12AA0A12" w:rsidR="00FB6EAC" w:rsidRDefault="00250126" w:rsidP="00944A39">
      <w:pPr>
        <w:ind w:left="720" w:hanging="720"/>
        <w:jc w:val="both"/>
        <w:rPr>
          <w:iCs/>
        </w:rPr>
      </w:pPr>
      <w:r>
        <w:rPr>
          <w:iCs/>
        </w:rPr>
        <w:t>6.</w:t>
      </w:r>
      <w:r w:rsidR="00885660">
        <w:rPr>
          <w:iCs/>
        </w:rPr>
        <w:t>5</w:t>
      </w:r>
      <w:r>
        <w:rPr>
          <w:iCs/>
        </w:rPr>
        <w:t xml:space="preserve"> </w:t>
      </w:r>
      <w:r w:rsidR="00915968">
        <w:rPr>
          <w:iCs/>
        </w:rPr>
        <w:t xml:space="preserve">  </w:t>
      </w:r>
      <w:r w:rsidR="000913A5" w:rsidRPr="000913A5">
        <w:rPr>
          <w:iCs/>
        </w:rPr>
        <w:t xml:space="preserve">Specific requirements on social value will be discussed, agreed and delivered between </w:t>
      </w:r>
      <w:r w:rsidR="00AE73D2">
        <w:rPr>
          <w:iCs/>
        </w:rPr>
        <w:t>R</w:t>
      </w:r>
      <w:r w:rsidR="000913A5" w:rsidRPr="000913A5">
        <w:rPr>
          <w:iCs/>
        </w:rPr>
        <w:t xml:space="preserve">esident </w:t>
      </w:r>
      <w:r w:rsidR="00AE73D2">
        <w:rPr>
          <w:iCs/>
        </w:rPr>
        <w:t>S</w:t>
      </w:r>
      <w:r w:rsidR="000913A5" w:rsidRPr="000913A5">
        <w:rPr>
          <w:iCs/>
        </w:rPr>
        <w:t>ervices and Asset Management from the financial commitment to community projects</w:t>
      </w:r>
      <w:r w:rsidR="00AE73D2">
        <w:rPr>
          <w:iCs/>
        </w:rPr>
        <w:t xml:space="preserve"> </w:t>
      </w:r>
      <w:r w:rsidR="004C5C1C">
        <w:rPr>
          <w:iCs/>
        </w:rPr>
        <w:t xml:space="preserve">for properties </w:t>
      </w:r>
      <w:r w:rsidR="00AE73D2">
        <w:rPr>
          <w:iCs/>
        </w:rPr>
        <w:t>within</w:t>
      </w:r>
      <w:r w:rsidR="004C5C1C">
        <w:rPr>
          <w:iCs/>
        </w:rPr>
        <w:t xml:space="preserve"> HRA</w:t>
      </w:r>
      <w:r w:rsidR="00A32F69">
        <w:rPr>
          <w:iCs/>
        </w:rPr>
        <w:t xml:space="preserve"> and these commitments </w:t>
      </w:r>
      <w:r w:rsidR="002F166C">
        <w:rPr>
          <w:iCs/>
        </w:rPr>
        <w:t>are</w:t>
      </w:r>
      <w:r w:rsidR="00A32F69">
        <w:rPr>
          <w:iCs/>
        </w:rPr>
        <w:t xml:space="preserve"> detailed</w:t>
      </w:r>
      <w:r w:rsidR="000913A5" w:rsidRPr="000913A5">
        <w:rPr>
          <w:iCs/>
        </w:rPr>
        <w:t xml:space="preserve">. This will enable delivery of meaningful social value contributions </w:t>
      </w:r>
      <w:r w:rsidR="00AE73D2">
        <w:rPr>
          <w:iCs/>
        </w:rPr>
        <w:t xml:space="preserve">targeted </w:t>
      </w:r>
      <w:r w:rsidR="000913A5" w:rsidRPr="000913A5">
        <w:rPr>
          <w:iCs/>
        </w:rPr>
        <w:t xml:space="preserve">within </w:t>
      </w:r>
      <w:r w:rsidR="00FE521D">
        <w:rPr>
          <w:iCs/>
        </w:rPr>
        <w:t xml:space="preserve">properties and communities within the HRA </w:t>
      </w:r>
      <w:r w:rsidR="000913A5" w:rsidRPr="000913A5">
        <w:rPr>
          <w:iCs/>
        </w:rPr>
        <w:t xml:space="preserve">. </w:t>
      </w:r>
      <w:r w:rsidR="005A1A1A">
        <w:rPr>
          <w:iCs/>
        </w:rPr>
        <w:t xml:space="preserve"> </w:t>
      </w:r>
      <w:r w:rsidR="00986F10">
        <w:rPr>
          <w:iCs/>
        </w:rPr>
        <w:t xml:space="preserve">This will include </w:t>
      </w:r>
      <w:r w:rsidR="00FB6EAC">
        <w:rPr>
          <w:iCs/>
        </w:rPr>
        <w:t>the following</w:t>
      </w:r>
      <w:r w:rsidR="00CC7A3E">
        <w:rPr>
          <w:iCs/>
        </w:rPr>
        <w:t>:</w:t>
      </w:r>
    </w:p>
    <w:p w14:paraId="3B969E5C" w14:textId="77777777" w:rsidR="00FB6EAC" w:rsidRDefault="00FB6EAC" w:rsidP="00944A39">
      <w:pPr>
        <w:ind w:left="720" w:hanging="720"/>
        <w:jc w:val="both"/>
        <w:rPr>
          <w:iCs/>
        </w:rPr>
      </w:pPr>
    </w:p>
    <w:p w14:paraId="4415F1E7" w14:textId="786B070F" w:rsidR="00FB6EAC" w:rsidRPr="00E3541A" w:rsidRDefault="00FB6EAC" w:rsidP="00E3541A">
      <w:pPr>
        <w:pStyle w:val="ListParagraph"/>
        <w:numPr>
          <w:ilvl w:val="0"/>
          <w:numId w:val="27"/>
        </w:numPr>
        <w:jc w:val="both"/>
        <w:rPr>
          <w:iCs/>
          <w:color w:val="000000" w:themeColor="text1"/>
        </w:rPr>
      </w:pPr>
      <w:r w:rsidRPr="00E3541A">
        <w:rPr>
          <w:iCs/>
          <w:color w:val="000000" w:themeColor="text1"/>
        </w:rPr>
        <w:t xml:space="preserve">Sustaining the local </w:t>
      </w:r>
      <w:r w:rsidR="00E3541A" w:rsidRPr="00E3541A">
        <w:rPr>
          <w:iCs/>
          <w:color w:val="000000" w:themeColor="text1"/>
        </w:rPr>
        <w:t>econo</w:t>
      </w:r>
      <w:r w:rsidR="00E3541A">
        <w:rPr>
          <w:iCs/>
          <w:color w:val="000000" w:themeColor="text1"/>
        </w:rPr>
        <w:t>m</w:t>
      </w:r>
      <w:r w:rsidR="00E3541A" w:rsidRPr="00E3541A">
        <w:rPr>
          <w:iCs/>
          <w:color w:val="000000" w:themeColor="text1"/>
        </w:rPr>
        <w:t>y</w:t>
      </w:r>
      <w:r w:rsidR="00E3541A">
        <w:rPr>
          <w:iCs/>
          <w:color w:val="000000" w:themeColor="text1"/>
        </w:rPr>
        <w:t xml:space="preserve"> in Harrow </w:t>
      </w:r>
      <w:r w:rsidR="00E7324E">
        <w:rPr>
          <w:iCs/>
          <w:color w:val="000000" w:themeColor="text1"/>
        </w:rPr>
        <w:t xml:space="preserve">by engaging </w:t>
      </w:r>
      <w:r w:rsidR="00CC7A3E">
        <w:rPr>
          <w:iCs/>
          <w:color w:val="000000" w:themeColor="text1"/>
        </w:rPr>
        <w:t>local suppliers and supply chain</w:t>
      </w:r>
      <w:r w:rsidR="00E7324E">
        <w:rPr>
          <w:iCs/>
          <w:color w:val="000000" w:themeColor="text1"/>
        </w:rPr>
        <w:t>s</w:t>
      </w:r>
      <w:r w:rsidR="000112E3">
        <w:rPr>
          <w:iCs/>
          <w:color w:val="000000" w:themeColor="text1"/>
        </w:rPr>
        <w:t>.</w:t>
      </w:r>
      <w:r w:rsidR="00EE4933">
        <w:rPr>
          <w:iCs/>
          <w:color w:val="000000" w:themeColor="text1"/>
        </w:rPr>
        <w:t xml:space="preserve"> Contractors together have committed to spend over £1m </w:t>
      </w:r>
      <w:r w:rsidR="00614DFE">
        <w:rPr>
          <w:iCs/>
          <w:color w:val="000000" w:themeColor="text1"/>
        </w:rPr>
        <w:t>on local spend within Harrow</w:t>
      </w:r>
    </w:p>
    <w:p w14:paraId="50CA5690" w14:textId="0A303CC5" w:rsidR="00057F58" w:rsidRPr="00E3541A" w:rsidRDefault="00FB6EAC" w:rsidP="00E3541A">
      <w:pPr>
        <w:pStyle w:val="ListParagraph"/>
        <w:numPr>
          <w:ilvl w:val="0"/>
          <w:numId w:val="27"/>
        </w:numPr>
        <w:jc w:val="both"/>
        <w:rPr>
          <w:iCs/>
          <w:color w:val="000000" w:themeColor="text1"/>
        </w:rPr>
      </w:pPr>
      <w:r w:rsidRPr="00E3541A">
        <w:rPr>
          <w:iCs/>
          <w:color w:val="000000" w:themeColor="text1"/>
        </w:rPr>
        <w:t xml:space="preserve">Supporting </w:t>
      </w:r>
      <w:r w:rsidR="00057F58" w:rsidRPr="00E3541A">
        <w:rPr>
          <w:iCs/>
          <w:color w:val="000000" w:themeColor="text1"/>
        </w:rPr>
        <w:t>employment</w:t>
      </w:r>
      <w:r w:rsidR="00FE521D">
        <w:rPr>
          <w:iCs/>
          <w:color w:val="000000" w:themeColor="text1"/>
        </w:rPr>
        <w:t xml:space="preserve"> for housing residents </w:t>
      </w:r>
      <w:r w:rsidR="00057F58" w:rsidRPr="00E3541A">
        <w:rPr>
          <w:iCs/>
          <w:color w:val="000000" w:themeColor="text1"/>
        </w:rPr>
        <w:t xml:space="preserve">in </w:t>
      </w:r>
      <w:r w:rsidR="00BC542D" w:rsidRPr="00E3541A">
        <w:rPr>
          <w:iCs/>
          <w:color w:val="000000" w:themeColor="text1"/>
        </w:rPr>
        <w:t>Harrow i.e.</w:t>
      </w:r>
      <w:r w:rsidR="00057F58" w:rsidRPr="00E3541A">
        <w:rPr>
          <w:iCs/>
          <w:color w:val="000000" w:themeColor="text1"/>
        </w:rPr>
        <w:t xml:space="preserve"> apprenticeships, employing </w:t>
      </w:r>
      <w:r w:rsidR="00A879B4">
        <w:rPr>
          <w:iCs/>
          <w:color w:val="000000" w:themeColor="text1"/>
        </w:rPr>
        <w:t>residents living in council housing stock</w:t>
      </w:r>
      <w:r w:rsidR="000112E3">
        <w:rPr>
          <w:iCs/>
          <w:color w:val="000000" w:themeColor="text1"/>
        </w:rPr>
        <w:t>.</w:t>
      </w:r>
      <w:r w:rsidR="00A879B4">
        <w:rPr>
          <w:iCs/>
          <w:color w:val="000000" w:themeColor="text1"/>
        </w:rPr>
        <w:t xml:space="preserve"> </w:t>
      </w:r>
    </w:p>
    <w:p w14:paraId="160FFE89" w14:textId="368F2E2E" w:rsidR="000913A5" w:rsidRDefault="00DA5E1E" w:rsidP="00E3541A">
      <w:pPr>
        <w:pStyle w:val="ListParagraph"/>
        <w:numPr>
          <w:ilvl w:val="0"/>
          <w:numId w:val="27"/>
        </w:numPr>
        <w:jc w:val="both"/>
        <w:rPr>
          <w:iCs/>
          <w:color w:val="000000" w:themeColor="text1"/>
        </w:rPr>
      </w:pPr>
      <w:r w:rsidRPr="00E3541A">
        <w:rPr>
          <w:iCs/>
          <w:color w:val="000000" w:themeColor="text1"/>
        </w:rPr>
        <w:t xml:space="preserve">Contributing labour and resources to agreed </w:t>
      </w:r>
      <w:r w:rsidR="00E3541A" w:rsidRPr="00E3541A">
        <w:rPr>
          <w:iCs/>
          <w:color w:val="000000" w:themeColor="text1"/>
        </w:rPr>
        <w:t>community</w:t>
      </w:r>
      <w:r w:rsidRPr="00E3541A">
        <w:rPr>
          <w:iCs/>
          <w:color w:val="000000" w:themeColor="text1"/>
        </w:rPr>
        <w:t xml:space="preserve"> </w:t>
      </w:r>
      <w:r w:rsidR="00BC542D" w:rsidRPr="00E3541A">
        <w:rPr>
          <w:iCs/>
          <w:color w:val="000000" w:themeColor="text1"/>
        </w:rPr>
        <w:t>initiatives for</w:t>
      </w:r>
      <w:r w:rsidRPr="00E3541A">
        <w:rPr>
          <w:iCs/>
          <w:color w:val="000000" w:themeColor="text1"/>
        </w:rPr>
        <w:t xml:space="preserve"> </w:t>
      </w:r>
      <w:r w:rsidR="005A1A1A">
        <w:rPr>
          <w:iCs/>
          <w:color w:val="000000" w:themeColor="text1"/>
        </w:rPr>
        <w:t xml:space="preserve">council </w:t>
      </w:r>
      <w:r w:rsidRPr="00E3541A">
        <w:rPr>
          <w:iCs/>
          <w:color w:val="000000" w:themeColor="text1"/>
        </w:rPr>
        <w:t>residents</w:t>
      </w:r>
      <w:r w:rsidR="008326D9">
        <w:rPr>
          <w:iCs/>
          <w:color w:val="000000" w:themeColor="text1"/>
        </w:rPr>
        <w:t xml:space="preserve"> in their communities and properties where they live</w:t>
      </w:r>
      <w:r w:rsidR="000112E3">
        <w:rPr>
          <w:iCs/>
          <w:color w:val="000000" w:themeColor="text1"/>
        </w:rPr>
        <w:t>.</w:t>
      </w:r>
    </w:p>
    <w:p w14:paraId="59A40788" w14:textId="0FDAB135" w:rsidR="007A10CE" w:rsidRDefault="00E12E59" w:rsidP="00A15EF4">
      <w:pPr>
        <w:ind w:left="1080"/>
      </w:pPr>
      <w:r>
        <w:rPr>
          <w:iCs/>
          <w:color w:val="000000" w:themeColor="text1"/>
        </w:rPr>
        <w:t xml:space="preserve">Liberty have committed to provide </w:t>
      </w:r>
      <w:r w:rsidR="00C4484E">
        <w:rPr>
          <w:iCs/>
          <w:color w:val="000000" w:themeColor="text1"/>
        </w:rPr>
        <w:t>840 hours of community service and Thermaser</w:t>
      </w:r>
      <w:r w:rsidR="005966C4">
        <w:rPr>
          <w:iCs/>
          <w:color w:val="000000" w:themeColor="text1"/>
        </w:rPr>
        <w:t>v</w:t>
      </w:r>
      <w:r w:rsidR="00C4484E">
        <w:rPr>
          <w:iCs/>
          <w:color w:val="000000" w:themeColor="text1"/>
        </w:rPr>
        <w:t xml:space="preserve">e </w:t>
      </w:r>
      <w:r w:rsidR="005966C4">
        <w:rPr>
          <w:iCs/>
          <w:color w:val="000000" w:themeColor="text1"/>
        </w:rPr>
        <w:t xml:space="preserve">288 hours.  We will be </w:t>
      </w:r>
      <w:r w:rsidR="005F7996">
        <w:rPr>
          <w:iCs/>
          <w:color w:val="000000" w:themeColor="text1"/>
        </w:rPr>
        <w:t>targeting</w:t>
      </w:r>
      <w:r w:rsidR="005966C4">
        <w:rPr>
          <w:iCs/>
          <w:color w:val="000000" w:themeColor="text1"/>
        </w:rPr>
        <w:t xml:space="preserve"> </w:t>
      </w:r>
      <w:r w:rsidR="00744647">
        <w:rPr>
          <w:iCs/>
          <w:color w:val="000000" w:themeColor="text1"/>
        </w:rPr>
        <w:t xml:space="preserve">this service </w:t>
      </w:r>
      <w:r w:rsidR="00F93079">
        <w:rPr>
          <w:iCs/>
          <w:color w:val="000000" w:themeColor="text1"/>
        </w:rPr>
        <w:t xml:space="preserve">at projects for our </w:t>
      </w:r>
      <w:r w:rsidR="00543D2F">
        <w:rPr>
          <w:iCs/>
          <w:color w:val="000000" w:themeColor="text1"/>
        </w:rPr>
        <w:t>council housing residents</w:t>
      </w:r>
      <w:r w:rsidR="0091729E">
        <w:rPr>
          <w:iCs/>
          <w:color w:val="000000" w:themeColor="text1"/>
        </w:rPr>
        <w:t xml:space="preserve"> </w:t>
      </w:r>
      <w:r w:rsidR="007A10CE">
        <w:t>estate de-clutter events Community Action Days</w:t>
      </w:r>
      <w:r w:rsidR="00A15EF4">
        <w:t xml:space="preserve"> and sheltered resident garden schemes.</w:t>
      </w:r>
    </w:p>
    <w:p w14:paraId="7EA48417" w14:textId="77777777" w:rsidR="000913A5" w:rsidRPr="000913A5" w:rsidRDefault="000913A5" w:rsidP="00944A39">
      <w:pPr>
        <w:jc w:val="both"/>
        <w:rPr>
          <w:iCs/>
        </w:rPr>
      </w:pPr>
    </w:p>
    <w:p w14:paraId="0191CEC7" w14:textId="235FB5EF" w:rsidR="000913A5" w:rsidRPr="000913A5" w:rsidRDefault="00250126" w:rsidP="00B17339">
      <w:pPr>
        <w:autoSpaceDE w:val="0"/>
        <w:autoSpaceDN w:val="0"/>
        <w:adjustRightInd w:val="0"/>
        <w:ind w:left="720" w:hanging="720"/>
        <w:jc w:val="both"/>
      </w:pPr>
      <w:r>
        <w:t>6.</w:t>
      </w:r>
      <w:r w:rsidR="00885660">
        <w:t>6</w:t>
      </w:r>
      <w:r w:rsidR="000913A5" w:rsidRPr="000913A5">
        <w:tab/>
      </w:r>
      <w:r w:rsidR="00DC4A34">
        <w:t xml:space="preserve">At </w:t>
      </w:r>
      <w:r w:rsidR="001C64C0">
        <w:t>mobilisation</w:t>
      </w:r>
      <w:r w:rsidR="00DC4A34">
        <w:t xml:space="preserve"> and throughout </w:t>
      </w:r>
      <w:r w:rsidR="001C64C0">
        <w:t>the contract term</w:t>
      </w:r>
      <w:r w:rsidR="000913A5" w:rsidRPr="000913A5">
        <w:t xml:space="preserve"> we will work with the </w:t>
      </w:r>
      <w:r w:rsidR="004949E8">
        <w:t>Liberty Gr</w:t>
      </w:r>
      <w:r w:rsidR="00FF3A98">
        <w:t xml:space="preserve">oup and Thermoserve </w:t>
      </w:r>
      <w:r w:rsidR="000735C1">
        <w:t xml:space="preserve"> to focus on residents living in </w:t>
      </w:r>
      <w:r w:rsidR="00FF3A98">
        <w:t>C</w:t>
      </w:r>
      <w:r w:rsidR="000112E3">
        <w:t xml:space="preserve">ouncil HRA properties </w:t>
      </w:r>
      <w:r w:rsidR="000913A5" w:rsidRPr="000913A5">
        <w:t>:</w:t>
      </w:r>
    </w:p>
    <w:p w14:paraId="51B65D44" w14:textId="77777777" w:rsidR="000913A5" w:rsidRPr="000913A5" w:rsidRDefault="000913A5" w:rsidP="00B17339">
      <w:pPr>
        <w:autoSpaceDE w:val="0"/>
        <w:autoSpaceDN w:val="0"/>
        <w:adjustRightInd w:val="0"/>
        <w:jc w:val="both"/>
      </w:pPr>
    </w:p>
    <w:p w14:paraId="5C24E3A7" w14:textId="343E63EB" w:rsidR="000913A5" w:rsidRPr="000913A5" w:rsidRDefault="000913A5" w:rsidP="00B17339">
      <w:pPr>
        <w:numPr>
          <w:ilvl w:val="0"/>
          <w:numId w:val="15"/>
        </w:numPr>
        <w:autoSpaceDE w:val="0"/>
        <w:autoSpaceDN w:val="0"/>
        <w:adjustRightInd w:val="0"/>
        <w:jc w:val="both"/>
      </w:pPr>
      <w:r w:rsidRPr="000913A5">
        <w:t>Monitor targets for employing apprentices and offering work placements and training opportunities to local young people</w:t>
      </w:r>
      <w:r w:rsidR="000112E3">
        <w:t>.</w:t>
      </w:r>
    </w:p>
    <w:p w14:paraId="0E3E5CD5" w14:textId="77777777" w:rsidR="000913A5" w:rsidRPr="000913A5" w:rsidRDefault="000913A5" w:rsidP="00B17339">
      <w:pPr>
        <w:numPr>
          <w:ilvl w:val="0"/>
          <w:numId w:val="15"/>
        </w:numPr>
        <w:autoSpaceDE w:val="0"/>
        <w:autoSpaceDN w:val="0"/>
        <w:adjustRightInd w:val="0"/>
        <w:jc w:val="both"/>
      </w:pPr>
      <w:r w:rsidRPr="000913A5">
        <w:t>Review environmental performance in such areas of reduction of waste, reducing energy costs and reuse of products and materials.</w:t>
      </w:r>
    </w:p>
    <w:p w14:paraId="097BFEB8" w14:textId="77777777" w:rsidR="000913A5" w:rsidRPr="000913A5" w:rsidRDefault="000913A5" w:rsidP="00B17339">
      <w:pPr>
        <w:numPr>
          <w:ilvl w:val="0"/>
          <w:numId w:val="15"/>
        </w:numPr>
        <w:autoSpaceDE w:val="0"/>
        <w:autoSpaceDN w:val="0"/>
        <w:adjustRightInd w:val="0"/>
        <w:jc w:val="both"/>
        <w:rPr>
          <w:szCs w:val="24"/>
        </w:rPr>
      </w:pPr>
      <w:r w:rsidRPr="000913A5">
        <w:t xml:space="preserve">We will also explore further options for implementing the introduction of new technology to reduce our stock’s carbon footprint. </w:t>
      </w:r>
    </w:p>
    <w:p w14:paraId="4DB28C0B" w14:textId="77777777" w:rsidR="008A6E52" w:rsidRDefault="008A6E52">
      <w:pPr>
        <w:rPr>
          <w:color w:val="0000FF"/>
          <w:szCs w:val="24"/>
        </w:rPr>
      </w:pPr>
    </w:p>
    <w:p w14:paraId="6A3A8A7E" w14:textId="2D3E57C4" w:rsidR="00E54F61" w:rsidRPr="00F11754" w:rsidRDefault="00885660" w:rsidP="004873F4">
      <w:pPr>
        <w:rPr>
          <w:b/>
          <w:bCs/>
        </w:rPr>
      </w:pPr>
      <w:r>
        <w:rPr>
          <w:b/>
          <w:bCs/>
        </w:rPr>
        <w:t xml:space="preserve">7.0     </w:t>
      </w:r>
      <w:r w:rsidR="00E54F61" w:rsidRPr="00F11754">
        <w:rPr>
          <w:b/>
          <w:bCs/>
        </w:rPr>
        <w:t xml:space="preserve">Performance Issues </w:t>
      </w:r>
    </w:p>
    <w:p w14:paraId="46D76190" w14:textId="77777777" w:rsidR="00E54F61" w:rsidRDefault="00E54F61" w:rsidP="00B17339">
      <w:pPr>
        <w:ind w:left="720" w:hanging="720"/>
        <w:jc w:val="both"/>
      </w:pPr>
    </w:p>
    <w:p w14:paraId="03AE4A0F" w14:textId="615D97F9" w:rsidR="00DA4E7B" w:rsidRDefault="00E54F61" w:rsidP="00B17339">
      <w:pPr>
        <w:ind w:left="720" w:hanging="720"/>
        <w:jc w:val="both"/>
      </w:pPr>
      <w:r>
        <w:t xml:space="preserve">7.1     The procurement strategy adopted aimed to produce a result that would deliver both a </w:t>
      </w:r>
      <w:r w:rsidR="001624C8">
        <w:t>cost-effective</w:t>
      </w:r>
      <w:r>
        <w:t xml:space="preserve"> repairs service and support the local economy. The procurement fits within the continuing transformation programme. This project started with a thorough analysis of the procurement options and the inclusion of works, within this and other repair contracts that have been managed in a more disparate way is part of enhancing the procurement process. </w:t>
      </w:r>
    </w:p>
    <w:p w14:paraId="577FADD5" w14:textId="77777777" w:rsidR="00DA4E7B" w:rsidRDefault="00DA4E7B" w:rsidP="00B17339">
      <w:pPr>
        <w:ind w:left="720" w:hanging="720"/>
        <w:jc w:val="both"/>
      </w:pPr>
    </w:p>
    <w:p w14:paraId="675C3A9E" w14:textId="5C5BE256" w:rsidR="00DA4E7B" w:rsidRDefault="00E54F61" w:rsidP="00B17339">
      <w:pPr>
        <w:ind w:left="720" w:hanging="720"/>
        <w:jc w:val="both"/>
      </w:pPr>
      <w:r>
        <w:t>7.</w:t>
      </w:r>
      <w:r w:rsidR="00E16231">
        <w:t>2</w:t>
      </w:r>
      <w:r>
        <w:t xml:space="preserve"> </w:t>
      </w:r>
      <w:r w:rsidR="00DA4E7B">
        <w:t xml:space="preserve">  </w:t>
      </w:r>
      <w:r>
        <w:t>Within the tender document was a suite of performance indicators designed to allow focus on the key areas of service and for the Council to agree with contractors a continuous improvement approach</w:t>
      </w:r>
      <w:r w:rsidR="00F10609">
        <w:t xml:space="preserve">.  There was </w:t>
      </w:r>
      <w:r>
        <w:t xml:space="preserve">a focus on the most pressing performance areas and routine monitoring of other areas that are seen to be delivering to an acceptable standard. </w:t>
      </w:r>
    </w:p>
    <w:p w14:paraId="6B9CFCEB" w14:textId="77777777" w:rsidR="00DA4E7B" w:rsidRDefault="00DA4E7B" w:rsidP="00B17339">
      <w:pPr>
        <w:ind w:left="720" w:hanging="720"/>
        <w:jc w:val="both"/>
      </w:pPr>
    </w:p>
    <w:p w14:paraId="1AB0984E" w14:textId="0574C34C" w:rsidR="008978FE" w:rsidRDefault="00E54F61" w:rsidP="00B17339">
      <w:pPr>
        <w:ind w:left="720" w:hanging="720"/>
        <w:jc w:val="both"/>
      </w:pPr>
      <w:r w:rsidRPr="00E16231">
        <w:t>7.</w:t>
      </w:r>
      <w:r w:rsidR="00E16231">
        <w:t>3</w:t>
      </w:r>
      <w:r w:rsidRPr="00E16231">
        <w:rPr>
          <w:b/>
          <w:bCs/>
        </w:rPr>
        <w:t xml:space="preserve"> </w:t>
      </w:r>
      <w:r w:rsidR="00DA4E7B" w:rsidRPr="00E16231">
        <w:rPr>
          <w:b/>
          <w:bCs/>
        </w:rPr>
        <w:t xml:space="preserve">  </w:t>
      </w:r>
      <w:r w:rsidR="001E3536" w:rsidRPr="00E16231">
        <w:rPr>
          <w:b/>
          <w:bCs/>
        </w:rPr>
        <w:t xml:space="preserve"> </w:t>
      </w:r>
      <w:r w:rsidR="00A96B2D">
        <w:rPr>
          <w:b/>
          <w:bCs/>
        </w:rPr>
        <w:t xml:space="preserve"> </w:t>
      </w:r>
      <w:r w:rsidRPr="00E16231">
        <w:t xml:space="preserve">The new contracts will aim to deliver better performance against </w:t>
      </w:r>
      <w:r w:rsidR="00D22E35">
        <w:t xml:space="preserve">agreed key performance indicators </w:t>
      </w:r>
      <w:r>
        <w:t xml:space="preserve"> and </w:t>
      </w:r>
      <w:r w:rsidR="00A96B2D">
        <w:t>will be reviewed jointly with Fusion21 framework consultants</w:t>
      </w:r>
      <w:r w:rsidR="0071732B">
        <w:t>.</w:t>
      </w:r>
      <w:r>
        <w:t xml:space="preserve"> </w:t>
      </w:r>
      <w:r w:rsidR="004955CE">
        <w:t xml:space="preserve">Both contractors will be adopting up-to-date </w:t>
      </w:r>
      <w:r w:rsidR="00C46F5A">
        <w:t xml:space="preserve">IT systems which will support efficient delivery of services and performance reporting </w:t>
      </w:r>
      <w:r w:rsidR="00E410E2">
        <w:t>which we will be able to access and interrogate.</w:t>
      </w:r>
    </w:p>
    <w:p w14:paraId="49A9C4E4" w14:textId="10F34376" w:rsidR="00D77CF6" w:rsidRDefault="00D77CF6" w:rsidP="00B17339">
      <w:pPr>
        <w:ind w:left="720" w:hanging="720"/>
        <w:jc w:val="both"/>
      </w:pPr>
    </w:p>
    <w:p w14:paraId="7F4D6E7F" w14:textId="30289CC7" w:rsidR="009D4E0F" w:rsidRDefault="00D77CF6" w:rsidP="00B17339">
      <w:pPr>
        <w:ind w:left="720" w:hanging="720"/>
        <w:jc w:val="both"/>
      </w:pPr>
      <w:r>
        <w:t>7.</w:t>
      </w:r>
      <w:r w:rsidR="00E16231">
        <w:t>4</w:t>
      </w:r>
      <w:r>
        <w:t xml:space="preserve">   </w:t>
      </w:r>
      <w:r w:rsidR="0071732B">
        <w:t xml:space="preserve"> </w:t>
      </w:r>
      <w:r w:rsidR="008C4227">
        <w:t>There will be</w:t>
      </w:r>
      <w:r w:rsidR="00A61138">
        <w:t xml:space="preserve"> </w:t>
      </w:r>
      <w:r w:rsidR="008C4227">
        <w:t>m</w:t>
      </w:r>
      <w:r>
        <w:t xml:space="preserve">onthly performance </w:t>
      </w:r>
      <w:r w:rsidR="006C193E">
        <w:t>operational and strat</w:t>
      </w:r>
      <w:r w:rsidR="00DB2B9C">
        <w:t xml:space="preserve">egic </w:t>
      </w:r>
      <w:r>
        <w:t xml:space="preserve">contracts review meeting </w:t>
      </w:r>
      <w:r w:rsidR="00982548">
        <w:t xml:space="preserve">to ensure contract and statutory gas compliance, commitments to social values and </w:t>
      </w:r>
      <w:r w:rsidR="005C0432">
        <w:t xml:space="preserve">VFM. </w:t>
      </w:r>
      <w:r w:rsidR="00E410E2">
        <w:t xml:space="preserve">This will include ensuring statutory gas servicing compliance, </w:t>
      </w:r>
      <w:r w:rsidR="00264202">
        <w:t xml:space="preserve">gas repairs carried out within agreed priority time, reviewing and monitoring costs to ensure VFM and </w:t>
      </w:r>
      <w:r w:rsidR="004E34C3">
        <w:t>customer satisfaction targets are achieved.</w:t>
      </w:r>
    </w:p>
    <w:p w14:paraId="642B012A" w14:textId="77777777" w:rsidR="009D4E0F" w:rsidRDefault="009D4E0F" w:rsidP="00482B9B">
      <w:pPr>
        <w:ind w:left="720" w:hanging="720"/>
      </w:pPr>
    </w:p>
    <w:p w14:paraId="47D59CE4" w14:textId="25DE68DE" w:rsidR="005C0432" w:rsidRDefault="005C0432" w:rsidP="00482B9B">
      <w:pPr>
        <w:ind w:left="720" w:hanging="720"/>
      </w:pPr>
      <w:r>
        <w:t>7.</w:t>
      </w:r>
      <w:r w:rsidR="00E16231">
        <w:t>5</w:t>
      </w:r>
      <w:r>
        <w:t xml:space="preserve">      Contra</w:t>
      </w:r>
      <w:r w:rsidR="00715272">
        <w:t xml:space="preserve">ctor </w:t>
      </w:r>
      <w:r w:rsidR="00CC513D">
        <w:t>appraisals</w:t>
      </w:r>
      <w:r w:rsidR="00715272">
        <w:t xml:space="preserve"> will be supported </w:t>
      </w:r>
      <w:r w:rsidR="009B2956">
        <w:t xml:space="preserve">in full by Fusion21 who will participate at monthly meetings to review KPI performance, </w:t>
      </w:r>
      <w:r w:rsidR="00671B50">
        <w:t>contract compliance and financial analysis to ensure VFM.</w:t>
      </w:r>
    </w:p>
    <w:p w14:paraId="6069D7BA" w14:textId="6728CF85" w:rsidR="001B06C0" w:rsidRDefault="001B06C0" w:rsidP="00482B9B">
      <w:pPr>
        <w:ind w:left="720" w:hanging="720"/>
      </w:pPr>
    </w:p>
    <w:p w14:paraId="13EEA629" w14:textId="77777777" w:rsidR="001B06C0" w:rsidRPr="00452E0B" w:rsidRDefault="001B06C0" w:rsidP="001B06C0">
      <w:pPr>
        <w:jc w:val="both"/>
        <w:rPr>
          <w:b/>
          <w:bCs/>
        </w:rPr>
      </w:pPr>
      <w:r>
        <w:rPr>
          <w:b/>
          <w:bCs/>
        </w:rPr>
        <w:t>8</w:t>
      </w:r>
      <w:r w:rsidRPr="00452E0B">
        <w:rPr>
          <w:b/>
          <w:bCs/>
        </w:rPr>
        <w:t xml:space="preserve">.0   </w:t>
      </w:r>
      <w:r>
        <w:rPr>
          <w:b/>
          <w:bCs/>
        </w:rPr>
        <w:t xml:space="preserve"> Service Delivery Enhancements </w:t>
      </w:r>
    </w:p>
    <w:p w14:paraId="45693C06" w14:textId="77777777" w:rsidR="001B06C0" w:rsidRDefault="001B06C0" w:rsidP="001B06C0">
      <w:pPr>
        <w:jc w:val="both"/>
        <w:rPr>
          <w:rFonts w:cs="Arial"/>
        </w:rPr>
      </w:pPr>
    </w:p>
    <w:p w14:paraId="713096CE" w14:textId="23468AAF" w:rsidR="001B06C0" w:rsidRPr="005F7C06" w:rsidRDefault="001B06C0" w:rsidP="001B06C0">
      <w:pPr>
        <w:jc w:val="both"/>
        <w:rPr>
          <w:rFonts w:cs="Arial"/>
          <w:b/>
          <w:bCs/>
        </w:rPr>
      </w:pPr>
      <w:r>
        <w:rPr>
          <w:rFonts w:cs="Arial"/>
          <w:b/>
          <w:bCs/>
        </w:rPr>
        <w:t xml:space="preserve">8.1 </w:t>
      </w:r>
      <w:r w:rsidR="00915968">
        <w:rPr>
          <w:rFonts w:cs="Arial"/>
          <w:b/>
          <w:bCs/>
        </w:rPr>
        <w:t xml:space="preserve">    </w:t>
      </w:r>
      <w:r w:rsidRPr="005F7C06">
        <w:rPr>
          <w:rFonts w:cs="Arial"/>
          <w:b/>
          <w:bCs/>
        </w:rPr>
        <w:t>Liberty Group</w:t>
      </w:r>
    </w:p>
    <w:p w14:paraId="70165ADD" w14:textId="77777777" w:rsidR="001B06C0" w:rsidRDefault="001B06C0" w:rsidP="001B06C0">
      <w:pPr>
        <w:jc w:val="both"/>
        <w:rPr>
          <w:rFonts w:cs="Arial"/>
        </w:rPr>
      </w:pPr>
    </w:p>
    <w:p w14:paraId="24A8BE35" w14:textId="413ADB39" w:rsidR="001B06C0" w:rsidRDefault="00915968" w:rsidP="004873F4">
      <w:pPr>
        <w:ind w:left="720" w:hanging="720"/>
      </w:pPr>
      <w:r>
        <w:t>8.2</w:t>
      </w:r>
      <w:r>
        <w:tab/>
      </w:r>
      <w:r w:rsidR="001B06C0">
        <w:t xml:space="preserve">Liberty Group have confirmed they will ensure an excellent local presence and understanding of the contract with strong communications with </w:t>
      </w:r>
      <w:r w:rsidR="00A66637">
        <w:t xml:space="preserve">housing </w:t>
      </w:r>
      <w:r w:rsidR="001B06C0">
        <w:t>residents</w:t>
      </w:r>
      <w:r w:rsidR="00A66637">
        <w:t>.</w:t>
      </w:r>
      <w:r w:rsidR="001B06C0">
        <w:t xml:space="preserve"> It also means that the contract will have access to unrivalled support functions which will provide access to additional expertise and capacity.</w:t>
      </w:r>
    </w:p>
    <w:p w14:paraId="7895BCB6" w14:textId="77777777" w:rsidR="001B06C0" w:rsidRDefault="001B06C0" w:rsidP="001B06C0">
      <w:pPr>
        <w:rPr>
          <w:rFonts w:asciiTheme="minorHAnsi" w:hAnsiTheme="minorHAnsi"/>
          <w:sz w:val="22"/>
        </w:rPr>
      </w:pPr>
    </w:p>
    <w:p w14:paraId="322D99A9" w14:textId="1CDB977F" w:rsidR="001B06C0" w:rsidRDefault="001F6C49" w:rsidP="00055008">
      <w:pPr>
        <w:ind w:left="720" w:hanging="720"/>
        <w:jc w:val="both"/>
      </w:pPr>
      <w:r>
        <w:lastRenderedPageBreak/>
        <w:t>8.3</w:t>
      </w:r>
      <w:r>
        <w:tab/>
      </w:r>
      <w:r w:rsidR="001B06C0">
        <w:t>Liberty Group</w:t>
      </w:r>
      <w:r>
        <w:t>’s</w:t>
      </w:r>
      <w:r w:rsidR="001B06C0">
        <w:t xml:space="preserve"> IT systems that support efficient delivery of services, compliance and reporting methods in line with contract and </w:t>
      </w:r>
      <w:r>
        <w:t xml:space="preserve">service </w:t>
      </w:r>
      <w:r w:rsidR="001B06C0">
        <w:t>requirements:</w:t>
      </w:r>
    </w:p>
    <w:p w14:paraId="1A6CAADC" w14:textId="77777777" w:rsidR="001B06C0" w:rsidRDefault="001B06C0" w:rsidP="001B06C0">
      <w:pPr>
        <w:jc w:val="both"/>
      </w:pPr>
    </w:p>
    <w:p w14:paraId="55E371D1" w14:textId="45BF104F" w:rsidR="001B06C0" w:rsidRDefault="001B06C0" w:rsidP="004873F4">
      <w:pPr>
        <w:pStyle w:val="ListParagraph"/>
        <w:numPr>
          <w:ilvl w:val="0"/>
          <w:numId w:val="28"/>
        </w:numPr>
        <w:spacing w:after="160" w:line="256" w:lineRule="auto"/>
        <w:ind w:left="1080"/>
        <w:contextualSpacing/>
        <w:jc w:val="both"/>
      </w:pPr>
      <w:r>
        <w:t xml:space="preserve">Service compliance and access: delivery of service is </w:t>
      </w:r>
      <w:r w:rsidR="00F8519F">
        <w:t>monitored ensuring</w:t>
      </w:r>
      <w:r>
        <w:t xml:space="preserve"> focus on at risk properties to constantly drive compliance. A national servicing team will continue to monitor performance and complete weekly benchmarking reports to ensure management action is taken for those properties at risk and dropping to below 100%.</w:t>
      </w:r>
    </w:p>
    <w:p w14:paraId="11924C19" w14:textId="77777777" w:rsidR="001B06C0" w:rsidRDefault="001B06C0" w:rsidP="004873F4">
      <w:pPr>
        <w:pStyle w:val="ListParagraph"/>
        <w:ind w:left="1080"/>
        <w:jc w:val="both"/>
      </w:pPr>
    </w:p>
    <w:p w14:paraId="347E2783" w14:textId="77777777" w:rsidR="001B06C0" w:rsidRDefault="001B06C0" w:rsidP="004873F4">
      <w:pPr>
        <w:pStyle w:val="ListParagraph"/>
        <w:numPr>
          <w:ilvl w:val="0"/>
          <w:numId w:val="28"/>
        </w:numPr>
        <w:spacing w:after="160" w:line="256" w:lineRule="auto"/>
        <w:ind w:left="1080"/>
        <w:contextualSpacing/>
        <w:jc w:val="both"/>
      </w:pPr>
      <w:r>
        <w:t>Harrow Council will have access to contract performance data through Civica CX systems integration and access to our online client reporting portal. This includes an embedded Power Bi reporting module for powerful, trended, visualised, meaningful reporting aligned to the contract KPIs in particular gas servicing compliance, first time fix, customer satisfaction.</w:t>
      </w:r>
    </w:p>
    <w:p w14:paraId="66BE8A8E" w14:textId="77777777" w:rsidR="001B06C0" w:rsidRDefault="001B06C0" w:rsidP="004873F4">
      <w:pPr>
        <w:pStyle w:val="ListParagraph"/>
        <w:ind w:left="1080"/>
        <w:jc w:val="both"/>
      </w:pPr>
    </w:p>
    <w:p w14:paraId="36D64BBE" w14:textId="77777777" w:rsidR="001B06C0" w:rsidRDefault="001B06C0" w:rsidP="004873F4">
      <w:pPr>
        <w:pStyle w:val="ListParagraph"/>
        <w:numPr>
          <w:ilvl w:val="0"/>
          <w:numId w:val="28"/>
        </w:numPr>
        <w:spacing w:after="160" w:line="256" w:lineRule="auto"/>
        <w:ind w:left="1080"/>
        <w:contextualSpacing/>
        <w:jc w:val="both"/>
      </w:pPr>
      <w:r>
        <w:t>State-of-the-art contact handling system called ‘Touchpoint’. Touchpoint uses a universal multimedia queuing system which logs and handles all customer contacts including calls, emails, live web chat (dedicated multilingual channel) and social media interactions including webchat. To monitor our performance, the Touchpoint system provides real time contact handling statistics such as average speed of answer, call volumes and abandonment rate, appointment management via SMS and verbal reminders.</w:t>
      </w:r>
    </w:p>
    <w:p w14:paraId="56248FEA" w14:textId="77777777" w:rsidR="001B06C0" w:rsidRDefault="001B06C0" w:rsidP="004873F4">
      <w:pPr>
        <w:pStyle w:val="ListParagraph"/>
        <w:ind w:left="1080"/>
        <w:jc w:val="both"/>
      </w:pPr>
    </w:p>
    <w:p w14:paraId="53B1E052" w14:textId="500D7725" w:rsidR="001B06C0" w:rsidRDefault="001B06C0" w:rsidP="004873F4">
      <w:pPr>
        <w:pStyle w:val="ListParagraph"/>
        <w:numPr>
          <w:ilvl w:val="0"/>
          <w:numId w:val="28"/>
        </w:numPr>
        <w:spacing w:after="160" w:line="256" w:lineRule="auto"/>
        <w:ind w:left="1080"/>
        <w:contextualSpacing/>
        <w:jc w:val="both"/>
      </w:pPr>
      <w:r>
        <w:t>Resident satisfaction is collected independently and use</w:t>
      </w:r>
      <w:r w:rsidR="009823FD">
        <w:t>s</w:t>
      </w:r>
      <w:r>
        <w:t xml:space="preserve"> the Net Promoter Score method of monitoring/reporting Customer Satisfaction via SMS as well as collecting data via Trustpilot.</w:t>
      </w:r>
    </w:p>
    <w:p w14:paraId="69F77B3C" w14:textId="77777777" w:rsidR="001B06C0" w:rsidRDefault="001B06C0" w:rsidP="004873F4">
      <w:pPr>
        <w:pStyle w:val="ListParagraph"/>
        <w:ind w:left="1080"/>
        <w:jc w:val="both"/>
      </w:pPr>
    </w:p>
    <w:p w14:paraId="5F287F09" w14:textId="55B18B80" w:rsidR="001B06C0" w:rsidRDefault="001B06C0" w:rsidP="004873F4">
      <w:pPr>
        <w:pStyle w:val="ListParagraph"/>
        <w:numPr>
          <w:ilvl w:val="0"/>
          <w:numId w:val="28"/>
        </w:numPr>
        <w:spacing w:after="160" w:line="256" w:lineRule="auto"/>
        <w:ind w:left="1080"/>
        <w:contextualSpacing/>
        <w:jc w:val="both"/>
      </w:pPr>
      <w:r>
        <w:t>Enhanced service delivery by maintaining a YouTube channel of useful video content which will be shared on social media. Regularly reporting of performance in resident newsletters and via HFTRA and support community events to promote the importance of gas safety and develop strong community links.</w:t>
      </w:r>
    </w:p>
    <w:p w14:paraId="7582A1AB" w14:textId="4F8E2592" w:rsidR="001B06C0" w:rsidRDefault="001F6C49" w:rsidP="001F1E8B">
      <w:pPr>
        <w:spacing w:after="160" w:line="256" w:lineRule="auto"/>
        <w:ind w:left="720" w:hanging="578"/>
        <w:contextualSpacing/>
        <w:jc w:val="both"/>
      </w:pPr>
      <w:r>
        <w:t>8.4</w:t>
      </w:r>
      <w:r>
        <w:tab/>
      </w:r>
      <w:r w:rsidR="00213A10">
        <w:t>Liberty will bring a</w:t>
      </w:r>
      <w:r>
        <w:t>n</w:t>
      </w:r>
      <w:r w:rsidR="00213A10">
        <w:t xml:space="preserve"> </w:t>
      </w:r>
      <w:r w:rsidR="00D02224">
        <w:t>up-to-date</w:t>
      </w:r>
      <w:r w:rsidR="001B06C0">
        <w:t xml:space="preserve"> </w:t>
      </w:r>
      <w:r w:rsidR="001877B4">
        <w:t>quality management system (</w:t>
      </w:r>
      <w:r w:rsidR="001B06C0">
        <w:t>QMS</w:t>
      </w:r>
      <w:r w:rsidR="001877B4">
        <w:t>)</w:t>
      </w:r>
      <w:r w:rsidR="001B06C0">
        <w:t xml:space="preserve"> incorporating a highly efficient process driven workflow process from receipt of an order, completion of an order through to quality checking to ensure </w:t>
      </w:r>
      <w:r w:rsidR="001877B4">
        <w:t>value for money (</w:t>
      </w:r>
      <w:r w:rsidR="001B06C0">
        <w:t>VFM</w:t>
      </w:r>
      <w:r w:rsidR="001877B4">
        <w:t>)</w:t>
      </w:r>
      <w:r w:rsidR="001B06C0">
        <w:t xml:space="preserve"> and resident</w:t>
      </w:r>
      <w:r>
        <w:t xml:space="preserve"> </w:t>
      </w:r>
      <w:r w:rsidR="001B06C0">
        <w:t>satisfaction</w:t>
      </w:r>
      <w:r w:rsidR="00122B3B">
        <w:t>.</w:t>
      </w:r>
    </w:p>
    <w:p w14:paraId="07576888" w14:textId="77777777" w:rsidR="00122B3B" w:rsidRDefault="00122B3B" w:rsidP="00055008">
      <w:pPr>
        <w:spacing w:after="160" w:line="256" w:lineRule="auto"/>
        <w:ind w:left="720" w:hanging="720"/>
        <w:contextualSpacing/>
        <w:jc w:val="both"/>
      </w:pPr>
    </w:p>
    <w:p w14:paraId="40A4E5B8" w14:textId="49F0C9EB" w:rsidR="001B06C0" w:rsidRDefault="001F6C49" w:rsidP="00055008">
      <w:pPr>
        <w:ind w:left="709" w:hanging="567"/>
        <w:jc w:val="both"/>
      </w:pPr>
      <w:r>
        <w:t>8.5</w:t>
      </w:r>
      <w:r>
        <w:tab/>
      </w:r>
      <w:r w:rsidR="001B06C0">
        <w:t>Liberty Group adopt a</w:t>
      </w:r>
      <w:r>
        <w:t xml:space="preserve">n effective </w:t>
      </w:r>
      <w:r w:rsidR="001B06C0">
        <w:t>Health and Safety regime to ensure compliance in all areas of the service where there is potential risk and ensure compliance to Health and Safety regulations a:</w:t>
      </w:r>
    </w:p>
    <w:p w14:paraId="756C535F" w14:textId="77777777" w:rsidR="00780FF6" w:rsidRDefault="00780FF6" w:rsidP="001B06C0">
      <w:pPr>
        <w:jc w:val="both"/>
      </w:pPr>
    </w:p>
    <w:p w14:paraId="110DA434" w14:textId="05C93BCF" w:rsidR="001B06C0" w:rsidRDefault="001B06C0" w:rsidP="00055008">
      <w:pPr>
        <w:pStyle w:val="ListParagraph"/>
        <w:numPr>
          <w:ilvl w:val="0"/>
          <w:numId w:val="30"/>
        </w:numPr>
        <w:spacing w:after="160" w:line="256" w:lineRule="auto"/>
        <w:ind w:left="1134"/>
        <w:contextualSpacing/>
        <w:jc w:val="both"/>
      </w:pPr>
      <w:r>
        <w:t xml:space="preserve">Focus on training individuals to understand safety and encouraging them to make the right decisions to protect themselves and others around them. Lead on safety standards for Harrow Council Harrow, residents and employees through strong and fair leadership. </w:t>
      </w:r>
    </w:p>
    <w:p w14:paraId="536128FE" w14:textId="008D9290" w:rsidR="001B06C0" w:rsidRDefault="001B06C0" w:rsidP="00055008">
      <w:pPr>
        <w:pStyle w:val="ListParagraph"/>
        <w:numPr>
          <w:ilvl w:val="0"/>
          <w:numId w:val="30"/>
        </w:numPr>
        <w:spacing w:after="160" w:line="256" w:lineRule="auto"/>
        <w:ind w:left="1134"/>
        <w:contextualSpacing/>
        <w:jc w:val="both"/>
      </w:pPr>
      <w:r>
        <w:lastRenderedPageBreak/>
        <w:t xml:space="preserve">They have in place an excellent health and safety system is recognised through certification to ISO:45001 and </w:t>
      </w:r>
      <w:r w:rsidR="00FF3A58">
        <w:t>contractors health and safety assessment scheme (</w:t>
      </w:r>
      <w:r>
        <w:t>CHAS</w:t>
      </w:r>
      <w:r w:rsidR="00FF3A58">
        <w:t>)</w:t>
      </w:r>
      <w:r>
        <w:t xml:space="preserve">. Their </w:t>
      </w:r>
      <w:r w:rsidR="00D02224">
        <w:t>health and safety system</w:t>
      </w:r>
      <w:r>
        <w:t xml:space="preserve"> has been verified with the R</w:t>
      </w:r>
      <w:r w:rsidR="00284BAE">
        <w:t xml:space="preserve">oyal Society </w:t>
      </w:r>
      <w:r w:rsidR="00CE6DEB">
        <w:t>for</w:t>
      </w:r>
      <w:r w:rsidR="00284BAE">
        <w:t xml:space="preserve"> Prevention of Accidents</w:t>
      </w:r>
      <w:r>
        <w:t xml:space="preserve"> </w:t>
      </w:r>
      <w:r w:rsidR="00CE6DEB">
        <w:t>g</w:t>
      </w:r>
      <w:r>
        <w:t xml:space="preserve">old </w:t>
      </w:r>
      <w:r w:rsidR="00CE6DEB">
        <w:t>a</w:t>
      </w:r>
      <w:r>
        <w:t>ward.</w:t>
      </w:r>
    </w:p>
    <w:p w14:paraId="516E8AC3" w14:textId="4EAE9320" w:rsidR="001B06C0" w:rsidRDefault="001B06C0" w:rsidP="00055008">
      <w:pPr>
        <w:pStyle w:val="ListParagraph"/>
        <w:numPr>
          <w:ilvl w:val="0"/>
          <w:numId w:val="30"/>
        </w:numPr>
        <w:spacing w:after="160" w:line="256" w:lineRule="auto"/>
        <w:ind w:left="1134"/>
        <w:contextualSpacing/>
        <w:jc w:val="both"/>
      </w:pPr>
      <w:r>
        <w:t>Plan a high level of health and safety on site through risk assessments, method statements, covid19- RAMs, service and safety enhancements for provision of services for vulnerable and special need groups</w:t>
      </w:r>
    </w:p>
    <w:p w14:paraId="3CECA4AC" w14:textId="2C30ED14" w:rsidR="001B06C0" w:rsidRDefault="001B06C0" w:rsidP="000E3EAE">
      <w:pPr>
        <w:ind w:firstLine="284"/>
        <w:jc w:val="both"/>
        <w:rPr>
          <w:rFonts w:cs="Arial"/>
          <w:b/>
          <w:bCs/>
        </w:rPr>
      </w:pPr>
      <w:r>
        <w:rPr>
          <w:rFonts w:cs="Arial"/>
          <w:b/>
          <w:bCs/>
        </w:rPr>
        <w:t xml:space="preserve">8.2 </w:t>
      </w:r>
      <w:r w:rsidR="008C4227">
        <w:rPr>
          <w:rFonts w:cs="Arial"/>
          <w:b/>
          <w:bCs/>
        </w:rPr>
        <w:tab/>
      </w:r>
      <w:r>
        <w:rPr>
          <w:rFonts w:cs="Arial"/>
          <w:b/>
          <w:bCs/>
        </w:rPr>
        <w:t>Thermoserve</w:t>
      </w:r>
    </w:p>
    <w:p w14:paraId="5D7630E0" w14:textId="479DCB20" w:rsidR="001B06C0" w:rsidRDefault="001B06C0" w:rsidP="001B06C0">
      <w:pPr>
        <w:jc w:val="both"/>
        <w:rPr>
          <w:rFonts w:cs="Arial"/>
          <w:b/>
          <w:bCs/>
        </w:rPr>
      </w:pPr>
    </w:p>
    <w:p w14:paraId="0B86637E" w14:textId="38F2C484" w:rsidR="008C4227" w:rsidRPr="00055008" w:rsidRDefault="008C4227" w:rsidP="001F1E8B">
      <w:pPr>
        <w:ind w:left="720" w:hanging="436"/>
        <w:jc w:val="both"/>
        <w:rPr>
          <w:rFonts w:cs="Arial"/>
        </w:rPr>
      </w:pPr>
      <w:r w:rsidRPr="00055008">
        <w:rPr>
          <w:rFonts w:cs="Arial"/>
        </w:rPr>
        <w:t>8.3</w:t>
      </w:r>
      <w:r>
        <w:rPr>
          <w:rFonts w:cs="Arial"/>
          <w:b/>
          <w:bCs/>
        </w:rPr>
        <w:t xml:space="preserve"> </w:t>
      </w:r>
      <w:r>
        <w:rPr>
          <w:rFonts w:cs="Arial"/>
          <w:b/>
          <w:bCs/>
        </w:rPr>
        <w:tab/>
      </w:r>
      <w:r w:rsidRPr="00055008">
        <w:rPr>
          <w:rFonts w:cs="Arial"/>
        </w:rPr>
        <w:t>Key service enhancements the new communal heating contractor will bring include:</w:t>
      </w:r>
    </w:p>
    <w:p w14:paraId="47DBB87C" w14:textId="77777777" w:rsidR="001B06C0" w:rsidRDefault="001B06C0" w:rsidP="001B06C0">
      <w:pPr>
        <w:jc w:val="both"/>
        <w:rPr>
          <w:b/>
          <w:bCs/>
          <w:szCs w:val="24"/>
        </w:rPr>
      </w:pPr>
    </w:p>
    <w:p w14:paraId="53415439" w14:textId="7CA360FD" w:rsidR="001B06C0" w:rsidRDefault="001B06C0" w:rsidP="00055008">
      <w:pPr>
        <w:pStyle w:val="ListParagraph"/>
        <w:numPr>
          <w:ilvl w:val="0"/>
          <w:numId w:val="31"/>
        </w:numPr>
        <w:spacing w:after="160" w:line="256" w:lineRule="auto"/>
        <w:ind w:left="1080"/>
        <w:contextualSpacing/>
        <w:jc w:val="both"/>
        <w:rPr>
          <w:szCs w:val="24"/>
        </w:rPr>
      </w:pPr>
      <w:r>
        <w:rPr>
          <w:szCs w:val="24"/>
        </w:rPr>
        <w:t xml:space="preserve">Thermoserve will deploy an advanced business </w:t>
      </w:r>
      <w:r w:rsidR="00BC542D">
        <w:rPr>
          <w:szCs w:val="24"/>
        </w:rPr>
        <w:t>management IT</w:t>
      </w:r>
      <w:r>
        <w:rPr>
          <w:szCs w:val="24"/>
        </w:rPr>
        <w:t xml:space="preserve"> system </w:t>
      </w:r>
      <w:r w:rsidR="00BC542D">
        <w:rPr>
          <w:szCs w:val="24"/>
        </w:rPr>
        <w:t>that supports</w:t>
      </w:r>
      <w:r>
        <w:rPr>
          <w:szCs w:val="24"/>
        </w:rPr>
        <w:t xml:space="preserve"> efficient delivery of services, </w:t>
      </w:r>
      <w:r w:rsidR="00BC542D">
        <w:rPr>
          <w:szCs w:val="24"/>
        </w:rPr>
        <w:t>compliance,</w:t>
      </w:r>
      <w:r>
        <w:rPr>
          <w:szCs w:val="24"/>
        </w:rPr>
        <w:t xml:space="preserve"> and reporting methods in line with contract and resident requirements.</w:t>
      </w:r>
    </w:p>
    <w:p w14:paraId="0C48ED1F" w14:textId="35EF7A48" w:rsidR="001B06C0" w:rsidRDefault="001B06C0" w:rsidP="00055008">
      <w:pPr>
        <w:pStyle w:val="ListParagraph"/>
        <w:numPr>
          <w:ilvl w:val="0"/>
          <w:numId w:val="31"/>
        </w:numPr>
        <w:spacing w:after="160" w:line="256" w:lineRule="auto"/>
        <w:ind w:left="1080"/>
        <w:contextualSpacing/>
        <w:jc w:val="both"/>
        <w:rPr>
          <w:szCs w:val="24"/>
        </w:rPr>
      </w:pPr>
      <w:r>
        <w:rPr>
          <w:szCs w:val="24"/>
        </w:rPr>
        <w:t>Orders placement via engineer</w:t>
      </w:r>
      <w:r w:rsidR="00DF3302">
        <w:rPr>
          <w:szCs w:val="24"/>
        </w:rPr>
        <w:t>’s personal digital assistant (PDA)</w:t>
      </w:r>
      <w:r>
        <w:rPr>
          <w:szCs w:val="24"/>
        </w:rPr>
        <w:t xml:space="preserve"> and resident communications via emails, automated emails and SMS.</w:t>
      </w:r>
    </w:p>
    <w:p w14:paraId="64BD6CA4" w14:textId="7507A8CC" w:rsidR="001B06C0" w:rsidRPr="00E90EE0" w:rsidRDefault="00954858" w:rsidP="00055008">
      <w:pPr>
        <w:pStyle w:val="ListParagraph"/>
        <w:numPr>
          <w:ilvl w:val="0"/>
          <w:numId w:val="31"/>
        </w:numPr>
        <w:spacing w:after="160" w:line="256" w:lineRule="auto"/>
        <w:ind w:left="1080"/>
        <w:contextualSpacing/>
        <w:jc w:val="both"/>
        <w:rPr>
          <w:szCs w:val="24"/>
        </w:rPr>
      </w:pPr>
      <w:r>
        <w:rPr>
          <w:rFonts w:cs="Arial"/>
          <w:szCs w:val="24"/>
          <w:lang w:eastAsia="en-GB"/>
        </w:rPr>
        <w:t>Key Performance Indicators (</w:t>
      </w:r>
      <w:r w:rsidR="001B06C0">
        <w:rPr>
          <w:rFonts w:cs="Arial"/>
          <w:szCs w:val="24"/>
          <w:lang w:eastAsia="en-GB"/>
        </w:rPr>
        <w:t>KPI</w:t>
      </w:r>
      <w:r w:rsidR="008675F8">
        <w:rPr>
          <w:rFonts w:cs="Arial"/>
          <w:szCs w:val="24"/>
          <w:lang w:eastAsia="en-GB"/>
        </w:rPr>
        <w:t>s</w:t>
      </w:r>
      <w:r>
        <w:rPr>
          <w:rFonts w:cs="Arial"/>
          <w:szCs w:val="24"/>
          <w:lang w:eastAsia="en-GB"/>
        </w:rPr>
        <w:t>)</w:t>
      </w:r>
      <w:r w:rsidR="001B06C0">
        <w:rPr>
          <w:rFonts w:cs="Arial"/>
          <w:szCs w:val="24"/>
          <w:lang w:eastAsia="en-GB"/>
        </w:rPr>
        <w:t xml:space="preserve"> dashboard and in the form of charts, data tables and </w:t>
      </w:r>
      <w:r w:rsidR="008C4227">
        <w:rPr>
          <w:rFonts w:cs="Arial"/>
          <w:szCs w:val="24"/>
          <w:lang w:eastAsia="en-GB"/>
        </w:rPr>
        <w:t xml:space="preserve">ability </w:t>
      </w:r>
      <w:r w:rsidR="001B06C0">
        <w:rPr>
          <w:rFonts w:cs="Arial"/>
          <w:szCs w:val="24"/>
          <w:lang w:eastAsia="en-GB"/>
        </w:rPr>
        <w:t>to report on productivity by engineer.</w:t>
      </w:r>
    </w:p>
    <w:p w14:paraId="50914757" w14:textId="4CCE397D" w:rsidR="001B06C0" w:rsidRDefault="001B06C0" w:rsidP="00055008">
      <w:pPr>
        <w:pStyle w:val="ListParagraph"/>
        <w:numPr>
          <w:ilvl w:val="0"/>
          <w:numId w:val="32"/>
        </w:numPr>
        <w:spacing w:after="160" w:line="256" w:lineRule="auto"/>
        <w:ind w:left="1080"/>
        <w:contextualSpacing/>
        <w:jc w:val="both"/>
        <w:rPr>
          <w:szCs w:val="24"/>
        </w:rPr>
      </w:pPr>
      <w:r>
        <w:rPr>
          <w:rFonts w:cs="Arial"/>
          <w:szCs w:val="24"/>
        </w:rPr>
        <w:t xml:space="preserve">Gold Members with Construction Line and are accredited with </w:t>
      </w:r>
      <w:r w:rsidR="00633AC2">
        <w:rPr>
          <w:rFonts w:cs="Arial"/>
          <w:szCs w:val="24"/>
        </w:rPr>
        <w:t>safety schemes in procurement (</w:t>
      </w:r>
      <w:r>
        <w:rPr>
          <w:rFonts w:cs="Arial"/>
          <w:szCs w:val="24"/>
        </w:rPr>
        <w:t>SSiP</w:t>
      </w:r>
      <w:r w:rsidR="00633AC2">
        <w:rPr>
          <w:rFonts w:cs="Arial"/>
          <w:szCs w:val="24"/>
        </w:rPr>
        <w:t>)</w:t>
      </w:r>
      <w:r>
        <w:rPr>
          <w:rFonts w:cs="Arial"/>
          <w:szCs w:val="24"/>
        </w:rPr>
        <w:t xml:space="preserve"> approved </w:t>
      </w:r>
      <w:r w:rsidR="003E6F30">
        <w:rPr>
          <w:rFonts w:cs="Arial"/>
          <w:szCs w:val="24"/>
        </w:rPr>
        <w:t>contractor health and safety assessment scheme (</w:t>
      </w:r>
      <w:r>
        <w:rPr>
          <w:rFonts w:cs="Arial"/>
          <w:szCs w:val="24"/>
        </w:rPr>
        <w:t>CHAS</w:t>
      </w:r>
      <w:r w:rsidR="003E6F30">
        <w:rPr>
          <w:rFonts w:cs="Arial"/>
          <w:szCs w:val="24"/>
        </w:rPr>
        <w:t xml:space="preserve">) </w:t>
      </w:r>
      <w:r>
        <w:rPr>
          <w:rFonts w:cs="Arial"/>
          <w:szCs w:val="24"/>
        </w:rPr>
        <w:t xml:space="preserve"> and have full</w:t>
      </w:r>
      <w:r w:rsidR="00954858">
        <w:rPr>
          <w:rFonts w:cs="Arial"/>
          <w:szCs w:val="24"/>
        </w:rPr>
        <w:t xml:space="preserve"> health and safety</w:t>
      </w:r>
      <w:r>
        <w:rPr>
          <w:rFonts w:cs="Arial"/>
          <w:szCs w:val="24"/>
        </w:rPr>
        <w:t xml:space="preserve"> credentials and certifications</w:t>
      </w:r>
      <w:r w:rsidR="003E6F30">
        <w:rPr>
          <w:rFonts w:cs="Arial"/>
          <w:szCs w:val="24"/>
        </w:rPr>
        <w:t>.</w:t>
      </w:r>
    </w:p>
    <w:p w14:paraId="706AA932" w14:textId="28579C6E" w:rsidR="001B06C0" w:rsidRDefault="001B06C0" w:rsidP="00055008">
      <w:pPr>
        <w:pStyle w:val="ListParagraph"/>
        <w:numPr>
          <w:ilvl w:val="0"/>
          <w:numId w:val="32"/>
        </w:numPr>
        <w:spacing w:after="160" w:line="256" w:lineRule="auto"/>
        <w:ind w:left="1080"/>
        <w:contextualSpacing/>
        <w:jc w:val="both"/>
        <w:rPr>
          <w:szCs w:val="24"/>
        </w:rPr>
      </w:pPr>
      <w:r>
        <w:rPr>
          <w:rFonts w:cs="Arial"/>
          <w:szCs w:val="24"/>
        </w:rPr>
        <w:t xml:space="preserve">“Stop and Assess” health and safety audit process in place, which is loaded onto </w:t>
      </w:r>
      <w:r w:rsidR="000F33C8">
        <w:rPr>
          <w:rFonts w:cs="Arial"/>
          <w:szCs w:val="24"/>
        </w:rPr>
        <w:t>Liberty’s IT system (</w:t>
      </w:r>
      <w:r>
        <w:rPr>
          <w:rFonts w:cs="Arial"/>
          <w:szCs w:val="24"/>
        </w:rPr>
        <w:t>Protean</w:t>
      </w:r>
      <w:r w:rsidR="000F33C8">
        <w:rPr>
          <w:rFonts w:cs="Arial"/>
          <w:szCs w:val="24"/>
        </w:rPr>
        <w:t>)</w:t>
      </w:r>
      <w:r>
        <w:rPr>
          <w:rFonts w:cs="Arial"/>
          <w:szCs w:val="24"/>
        </w:rPr>
        <w:t xml:space="preserve">, which issues for every job the “Stop and Assess” audit for the attending operative to complete, through risk assessments, method statements, </w:t>
      </w:r>
      <w:r w:rsidR="00954858">
        <w:rPr>
          <w:rFonts w:cs="Arial"/>
          <w:szCs w:val="24"/>
        </w:rPr>
        <w:t>C</w:t>
      </w:r>
      <w:r>
        <w:rPr>
          <w:rFonts w:cs="Arial"/>
          <w:szCs w:val="24"/>
        </w:rPr>
        <w:t xml:space="preserve">ovid-19 </w:t>
      </w:r>
      <w:r w:rsidR="000F33C8">
        <w:rPr>
          <w:rFonts w:cs="Arial"/>
          <w:szCs w:val="24"/>
        </w:rPr>
        <w:t>risk and method statement</w:t>
      </w:r>
      <w:r w:rsidR="002A3B06">
        <w:rPr>
          <w:rFonts w:cs="Arial"/>
          <w:szCs w:val="24"/>
        </w:rPr>
        <w:t>s (</w:t>
      </w:r>
      <w:r>
        <w:rPr>
          <w:rFonts w:cs="Arial"/>
          <w:szCs w:val="24"/>
        </w:rPr>
        <w:t>RAMs</w:t>
      </w:r>
      <w:r w:rsidR="002A3B06">
        <w:rPr>
          <w:rFonts w:cs="Arial"/>
          <w:szCs w:val="24"/>
        </w:rPr>
        <w:t>).</w:t>
      </w:r>
    </w:p>
    <w:p w14:paraId="46E9E623" w14:textId="77777777" w:rsidR="001B06C0" w:rsidRDefault="001B06C0" w:rsidP="00055008">
      <w:pPr>
        <w:pStyle w:val="ListParagraph"/>
        <w:numPr>
          <w:ilvl w:val="0"/>
          <w:numId w:val="32"/>
        </w:numPr>
        <w:spacing w:after="160" w:line="256" w:lineRule="auto"/>
        <w:ind w:left="1080"/>
        <w:contextualSpacing/>
        <w:jc w:val="both"/>
        <w:rPr>
          <w:szCs w:val="24"/>
        </w:rPr>
      </w:pPr>
      <w:r>
        <w:rPr>
          <w:szCs w:val="24"/>
        </w:rPr>
        <w:t xml:space="preserve">Priority services to vulnerable residents and those with special needs with strong emphasis on strong communications. </w:t>
      </w:r>
    </w:p>
    <w:p w14:paraId="405BB31A" w14:textId="1A4F0161" w:rsidR="001B06C0" w:rsidRDefault="001B06C0" w:rsidP="00055008">
      <w:pPr>
        <w:pStyle w:val="ListParagraph"/>
        <w:numPr>
          <w:ilvl w:val="0"/>
          <w:numId w:val="33"/>
        </w:numPr>
        <w:spacing w:after="160" w:line="256" w:lineRule="auto"/>
        <w:ind w:left="1080"/>
        <w:contextualSpacing/>
        <w:jc w:val="both"/>
        <w:rPr>
          <w:szCs w:val="24"/>
        </w:rPr>
      </w:pPr>
      <w:r>
        <w:rPr>
          <w:szCs w:val="24"/>
        </w:rPr>
        <w:t>Strict audit checklists in place for engineers and sub-contractors to ensure workflow processes are adhered to, compliant and to ensure the quality of work carried out meets with the standards required.</w:t>
      </w:r>
    </w:p>
    <w:p w14:paraId="18F2C730" w14:textId="77777777" w:rsidR="001B06C0" w:rsidRDefault="001B06C0" w:rsidP="00055008">
      <w:pPr>
        <w:pStyle w:val="ListParagraph"/>
        <w:numPr>
          <w:ilvl w:val="0"/>
          <w:numId w:val="33"/>
        </w:numPr>
        <w:spacing w:after="160" w:line="256" w:lineRule="auto"/>
        <w:ind w:left="1080"/>
        <w:contextualSpacing/>
        <w:jc w:val="both"/>
        <w:rPr>
          <w:szCs w:val="24"/>
        </w:rPr>
      </w:pPr>
      <w:r>
        <w:rPr>
          <w:szCs w:val="24"/>
        </w:rPr>
        <w:t>Have in place a practical internal audit system to check every single order from being raised to final completion.</w:t>
      </w:r>
    </w:p>
    <w:p w14:paraId="34D02EA4" w14:textId="0D6C13EB" w:rsidR="001B06C0" w:rsidRDefault="001B06C0" w:rsidP="00055008">
      <w:pPr>
        <w:pStyle w:val="ListParagraph"/>
        <w:numPr>
          <w:ilvl w:val="0"/>
          <w:numId w:val="33"/>
        </w:numPr>
        <w:spacing w:after="160" w:line="256" w:lineRule="auto"/>
        <w:ind w:left="1080"/>
        <w:contextualSpacing/>
        <w:jc w:val="both"/>
        <w:rPr>
          <w:szCs w:val="24"/>
        </w:rPr>
      </w:pPr>
      <w:r>
        <w:rPr>
          <w:rFonts w:cs="Arial"/>
          <w:szCs w:val="24"/>
        </w:rPr>
        <w:t>Quality health and safety and environmental systems ensures a variety of audits are carried out. These are tracked using a quality management process and are based on a 360-degree lessons learnt basis.</w:t>
      </w:r>
    </w:p>
    <w:p w14:paraId="64ED74AC" w14:textId="04A1E226" w:rsidR="00486639" w:rsidRPr="00EA6D70" w:rsidRDefault="00486639" w:rsidP="00482B9B">
      <w:pPr>
        <w:ind w:left="720" w:hanging="720"/>
        <w:rPr>
          <w:b/>
          <w:bCs/>
        </w:rPr>
      </w:pPr>
    </w:p>
    <w:p w14:paraId="502D5FC8" w14:textId="49263BF8" w:rsidR="006C211D" w:rsidRPr="00EA6D70" w:rsidRDefault="001B06C0" w:rsidP="00863039">
      <w:pPr>
        <w:ind w:left="720" w:hanging="720"/>
        <w:rPr>
          <w:b/>
          <w:bCs/>
        </w:rPr>
      </w:pPr>
      <w:r>
        <w:rPr>
          <w:b/>
          <w:bCs/>
        </w:rPr>
        <w:t>9</w:t>
      </w:r>
      <w:r w:rsidR="006C211D" w:rsidRPr="00EA6D70">
        <w:rPr>
          <w:b/>
          <w:bCs/>
        </w:rPr>
        <w:t>.0      Equalities implications</w:t>
      </w:r>
    </w:p>
    <w:p w14:paraId="73DAA97B" w14:textId="77777777" w:rsidR="006C211D" w:rsidRDefault="006C211D" w:rsidP="00863039">
      <w:pPr>
        <w:ind w:left="720" w:hanging="720"/>
      </w:pPr>
    </w:p>
    <w:p w14:paraId="0E777AB2" w14:textId="5AD77AB9" w:rsidR="00A22D5E" w:rsidRPr="006C118E" w:rsidRDefault="001B06C0" w:rsidP="00A22D5E">
      <w:pPr>
        <w:autoSpaceDE w:val="0"/>
        <w:autoSpaceDN w:val="0"/>
        <w:adjustRightInd w:val="0"/>
        <w:ind w:left="720" w:hanging="720"/>
        <w:jc w:val="both"/>
      </w:pPr>
      <w:r>
        <w:t>9</w:t>
      </w:r>
      <w:r w:rsidR="00A22D5E">
        <w:t>.1</w:t>
      </w:r>
      <w:r w:rsidR="00A22D5E">
        <w:tab/>
      </w:r>
      <w:r w:rsidR="00A22D5E" w:rsidRPr="006C118E">
        <w:t>The procurement exercise was designed to deliver existing policies and strategies maintaining the current level of equality in service provision. The contract specification was clear on the equalities related duties on contractors, given the wide range of needs of our customers.</w:t>
      </w:r>
    </w:p>
    <w:p w14:paraId="18AAA5C8" w14:textId="77777777" w:rsidR="00A22D5E" w:rsidRPr="006C118E" w:rsidRDefault="00A22D5E" w:rsidP="00A22D5E">
      <w:pPr>
        <w:autoSpaceDE w:val="0"/>
        <w:autoSpaceDN w:val="0"/>
        <w:adjustRightInd w:val="0"/>
        <w:jc w:val="both"/>
      </w:pPr>
    </w:p>
    <w:p w14:paraId="1F8A7826" w14:textId="1845CD10" w:rsidR="00CE6DEB" w:rsidRDefault="001B06C0" w:rsidP="00DE2AA0">
      <w:pPr>
        <w:autoSpaceDE w:val="0"/>
        <w:autoSpaceDN w:val="0"/>
        <w:adjustRightInd w:val="0"/>
        <w:ind w:left="720" w:hanging="720"/>
        <w:jc w:val="both"/>
        <w:rPr>
          <w:i/>
          <w:iCs/>
          <w:color w:val="0000FF"/>
        </w:rPr>
      </w:pPr>
      <w:r>
        <w:t>9</w:t>
      </w:r>
      <w:r w:rsidR="00A22D5E">
        <w:t>.2</w:t>
      </w:r>
      <w:r w:rsidR="00A22D5E" w:rsidRPr="006C118E">
        <w:tab/>
        <w:t xml:space="preserve">An initial Equality Impact Assessment was prepared specifically for the procurement exercise and this identified no need for a full assessment at this stage because it did not identify any potential for unlawful conduct or disproportionate impact. All opportunities to address diversity-particularly vulnerability for all tenants and has been addressed to ensure residents receive the same service </w:t>
      </w:r>
      <w:r w:rsidR="00D518C7">
        <w:t xml:space="preserve">and taking into </w:t>
      </w:r>
      <w:r w:rsidR="00780FF6">
        <w:t xml:space="preserve">account </w:t>
      </w:r>
      <w:r w:rsidR="00780FF6" w:rsidRPr="006C118E">
        <w:t>specific</w:t>
      </w:r>
      <w:r w:rsidR="00A22D5E" w:rsidRPr="006C118E">
        <w:t xml:space="preserve"> needs. </w:t>
      </w:r>
    </w:p>
    <w:p w14:paraId="365313F2" w14:textId="77777777" w:rsidR="00CE6DEB" w:rsidRDefault="00CE6DEB" w:rsidP="00A22D5E">
      <w:pPr>
        <w:rPr>
          <w:i/>
          <w:iCs/>
          <w:color w:val="0000FF"/>
        </w:rPr>
      </w:pPr>
    </w:p>
    <w:p w14:paraId="7DDCD59B" w14:textId="3D17C377" w:rsidR="00EA6D70" w:rsidRPr="00EA6D70" w:rsidRDefault="001B06C0" w:rsidP="00B17339">
      <w:pPr>
        <w:ind w:left="720" w:hanging="720"/>
        <w:jc w:val="both"/>
        <w:rPr>
          <w:b/>
          <w:bCs/>
        </w:rPr>
      </w:pPr>
      <w:r>
        <w:rPr>
          <w:b/>
          <w:bCs/>
        </w:rPr>
        <w:t>10</w:t>
      </w:r>
      <w:r w:rsidR="00EA6D70" w:rsidRPr="00EA6D70">
        <w:rPr>
          <w:b/>
          <w:bCs/>
        </w:rPr>
        <w:t xml:space="preserve">.0    </w:t>
      </w:r>
      <w:r w:rsidR="006C211D" w:rsidRPr="00EA6D70">
        <w:rPr>
          <w:b/>
          <w:bCs/>
        </w:rPr>
        <w:t>Corporate Priorities</w:t>
      </w:r>
    </w:p>
    <w:p w14:paraId="1F7297CA" w14:textId="77777777" w:rsidR="00EA6D70" w:rsidRDefault="00EA6D70" w:rsidP="00B17339">
      <w:pPr>
        <w:ind w:left="720" w:hanging="720"/>
        <w:jc w:val="both"/>
      </w:pPr>
    </w:p>
    <w:p w14:paraId="412D20C2" w14:textId="24711AC6" w:rsidR="006E3877" w:rsidRPr="00C250D3" w:rsidRDefault="00BF2CA1" w:rsidP="00055008">
      <w:pPr>
        <w:ind w:left="720" w:hanging="720"/>
        <w:jc w:val="both"/>
        <w:rPr>
          <w:sz w:val="22"/>
          <w:szCs w:val="22"/>
        </w:rPr>
      </w:pPr>
      <w:r>
        <w:t>10.1</w:t>
      </w:r>
      <w:r>
        <w:tab/>
      </w:r>
      <w:r w:rsidR="006E3877" w:rsidRPr="00C250D3">
        <w:t xml:space="preserve">Below </w:t>
      </w:r>
      <w:r w:rsidR="006E3877" w:rsidRPr="00C250D3">
        <w:rPr>
          <w:lang w:val="en-US"/>
        </w:rPr>
        <w:t>we have identified how the decision sought will deliver on some of the Council’s priorities:</w:t>
      </w:r>
    </w:p>
    <w:p w14:paraId="7B4E826C" w14:textId="77777777" w:rsidR="006E3877" w:rsidRPr="00C250D3" w:rsidRDefault="006E3877" w:rsidP="00B17339">
      <w:pPr>
        <w:autoSpaceDE w:val="0"/>
        <w:autoSpaceDN w:val="0"/>
        <w:jc w:val="both"/>
      </w:pPr>
    </w:p>
    <w:p w14:paraId="0D38EC0F" w14:textId="031EAE98" w:rsidR="006E3877" w:rsidRPr="00511837" w:rsidRDefault="001B06C0" w:rsidP="00B17339">
      <w:pPr>
        <w:autoSpaceDE w:val="0"/>
        <w:autoSpaceDN w:val="0"/>
        <w:jc w:val="both"/>
        <w:rPr>
          <w:rFonts w:ascii="TT4F92o00" w:hAnsi="TT4F92o00"/>
          <w:b/>
          <w:bCs/>
        </w:rPr>
      </w:pPr>
      <w:r>
        <w:rPr>
          <w:b/>
          <w:bCs/>
        </w:rPr>
        <w:t>10</w:t>
      </w:r>
      <w:r w:rsidR="006E3877" w:rsidRPr="00511837">
        <w:rPr>
          <w:b/>
          <w:bCs/>
        </w:rPr>
        <w:t>.</w:t>
      </w:r>
      <w:r w:rsidR="00BF2CA1">
        <w:rPr>
          <w:b/>
          <w:bCs/>
        </w:rPr>
        <w:t>2</w:t>
      </w:r>
      <w:r w:rsidR="00BF2CA1" w:rsidRPr="00511837">
        <w:rPr>
          <w:b/>
          <w:bCs/>
        </w:rPr>
        <w:t xml:space="preserve">    </w:t>
      </w:r>
      <w:r w:rsidR="006E3877" w:rsidRPr="00511837">
        <w:rPr>
          <w:b/>
          <w:bCs/>
        </w:rPr>
        <w:t>Improving the environment and addressing climate change</w:t>
      </w:r>
    </w:p>
    <w:p w14:paraId="5BC4A628" w14:textId="77777777" w:rsidR="006E3877" w:rsidRPr="00C250D3" w:rsidRDefault="006E3877" w:rsidP="00B17339">
      <w:pPr>
        <w:autoSpaceDE w:val="0"/>
        <w:autoSpaceDN w:val="0"/>
        <w:ind w:left="720"/>
        <w:contextualSpacing/>
        <w:jc w:val="both"/>
      </w:pPr>
    </w:p>
    <w:p w14:paraId="22273AE7" w14:textId="4B1CAFF2" w:rsidR="006E3877" w:rsidRDefault="00BF2CA1" w:rsidP="00B17339">
      <w:pPr>
        <w:autoSpaceDE w:val="0"/>
        <w:autoSpaceDN w:val="0"/>
        <w:ind w:left="720" w:hanging="720"/>
        <w:contextualSpacing/>
        <w:jc w:val="both"/>
      </w:pPr>
      <w:r>
        <w:t>10.3</w:t>
      </w:r>
      <w:r>
        <w:tab/>
      </w:r>
      <w:r w:rsidR="006E3877" w:rsidRPr="00C250D3">
        <w:t xml:space="preserve">The contracts allow flexibility to pursue our climate change ambitions.  </w:t>
      </w:r>
      <w:r w:rsidR="003633B5" w:rsidRPr="00C250D3">
        <w:t>So,</w:t>
      </w:r>
      <w:r w:rsidR="006E3877" w:rsidRPr="00C250D3">
        <w:t xml:space="preserve"> for example when we begin to deliver new carbon reducing technology into homes such as heat pumps</w:t>
      </w:r>
      <w:r w:rsidR="006E3877">
        <w:t xml:space="preserve">, </w:t>
      </w:r>
      <w:r w:rsidR="006E3877" w:rsidRPr="00C250D3">
        <w:t>the contract and pricing will be adjusted accordingly</w:t>
      </w:r>
      <w:r w:rsidR="004C0918">
        <w:t>.  While</w:t>
      </w:r>
      <w:r w:rsidR="00644F95">
        <w:t xml:space="preserve"> </w:t>
      </w:r>
      <w:r w:rsidR="009E2927">
        <w:t xml:space="preserve">there is </w:t>
      </w:r>
      <w:r w:rsidR="00644F95">
        <w:t xml:space="preserve">an </w:t>
      </w:r>
      <w:r w:rsidR="009E2927">
        <w:t>opportunity for the incumbent contractor to price for essential servicing and maintenance</w:t>
      </w:r>
      <w:r w:rsidR="00644F95">
        <w:t xml:space="preserve"> we are able to procure this work </w:t>
      </w:r>
      <w:r w:rsidR="00805342">
        <w:t>separately</w:t>
      </w:r>
      <w:r w:rsidR="009E2927">
        <w:t>.</w:t>
      </w:r>
    </w:p>
    <w:p w14:paraId="145227AF" w14:textId="77777777" w:rsidR="00482B9B" w:rsidRDefault="00482B9B" w:rsidP="00B17339">
      <w:pPr>
        <w:autoSpaceDE w:val="0"/>
        <w:autoSpaceDN w:val="0"/>
        <w:ind w:left="720" w:hanging="720"/>
        <w:contextualSpacing/>
        <w:jc w:val="both"/>
      </w:pPr>
    </w:p>
    <w:p w14:paraId="560B78BF" w14:textId="14F51559" w:rsidR="006E3877" w:rsidRPr="00C250D3" w:rsidRDefault="008C4227" w:rsidP="00B17339">
      <w:pPr>
        <w:autoSpaceDE w:val="0"/>
        <w:autoSpaceDN w:val="0"/>
        <w:ind w:left="720"/>
        <w:contextualSpacing/>
        <w:jc w:val="both"/>
      </w:pPr>
      <w:r>
        <w:t>We have detailed above how this contract will</w:t>
      </w:r>
      <w:r w:rsidR="00A61138">
        <w:t xml:space="preserve"> need to be </w:t>
      </w:r>
      <w:r w:rsidR="00BF2CA1">
        <w:t>managed in line with movement towards meeting the Councils carbon reduction ambitions.</w:t>
      </w:r>
    </w:p>
    <w:p w14:paraId="11242682" w14:textId="77777777" w:rsidR="006E3877" w:rsidRPr="00C250D3" w:rsidRDefault="006E3877" w:rsidP="00B17339">
      <w:pPr>
        <w:autoSpaceDE w:val="0"/>
        <w:autoSpaceDN w:val="0"/>
        <w:ind w:left="720" w:hanging="720"/>
        <w:contextualSpacing/>
        <w:jc w:val="both"/>
      </w:pPr>
    </w:p>
    <w:p w14:paraId="3E415E5D" w14:textId="6432B2D9" w:rsidR="006E3877" w:rsidRPr="00511837" w:rsidRDefault="001B06C0" w:rsidP="00B17339">
      <w:pPr>
        <w:autoSpaceDE w:val="0"/>
        <w:autoSpaceDN w:val="0"/>
        <w:jc w:val="both"/>
        <w:rPr>
          <w:b/>
          <w:bCs/>
        </w:rPr>
      </w:pPr>
      <w:r>
        <w:rPr>
          <w:b/>
          <w:bCs/>
        </w:rPr>
        <w:t>10</w:t>
      </w:r>
      <w:r w:rsidR="006E3877" w:rsidRPr="00511837">
        <w:rPr>
          <w:b/>
          <w:bCs/>
        </w:rPr>
        <w:t>.</w:t>
      </w:r>
      <w:r w:rsidR="00BF2CA1">
        <w:rPr>
          <w:b/>
          <w:bCs/>
        </w:rPr>
        <w:t>4</w:t>
      </w:r>
      <w:r w:rsidR="00BF2CA1" w:rsidRPr="00511837">
        <w:rPr>
          <w:b/>
          <w:bCs/>
        </w:rPr>
        <w:t xml:space="preserve">     </w:t>
      </w:r>
      <w:r w:rsidR="006E3877" w:rsidRPr="00511837">
        <w:rPr>
          <w:b/>
          <w:bCs/>
        </w:rPr>
        <w:t xml:space="preserve">Addressing health and social care inequality </w:t>
      </w:r>
    </w:p>
    <w:p w14:paraId="6CCDDB51" w14:textId="77777777" w:rsidR="006E3877" w:rsidRPr="00C250D3" w:rsidRDefault="006E3877" w:rsidP="00B17339">
      <w:pPr>
        <w:autoSpaceDE w:val="0"/>
        <w:autoSpaceDN w:val="0"/>
        <w:ind w:firstLine="720"/>
        <w:jc w:val="both"/>
        <w:rPr>
          <w:b/>
          <w:bCs/>
        </w:rPr>
      </w:pPr>
    </w:p>
    <w:p w14:paraId="3063A1D8" w14:textId="200B0A52" w:rsidR="006E3877" w:rsidRPr="00C250D3" w:rsidRDefault="00BF2CA1" w:rsidP="00055008">
      <w:pPr>
        <w:autoSpaceDE w:val="0"/>
        <w:autoSpaceDN w:val="0"/>
        <w:ind w:left="720" w:hanging="720"/>
        <w:contextualSpacing/>
        <w:jc w:val="both"/>
      </w:pPr>
      <w:r>
        <w:t>10.5</w:t>
      </w:r>
      <w:r>
        <w:tab/>
      </w:r>
      <w:r w:rsidR="006E3877" w:rsidRPr="00C250D3">
        <w:t xml:space="preserve">The procurement has been designed to deliver existing policies and strategies maintaining the current level of equality in service provision. </w:t>
      </w:r>
    </w:p>
    <w:p w14:paraId="7944B933" w14:textId="77777777" w:rsidR="006E3877" w:rsidRPr="00C250D3" w:rsidRDefault="006E3877" w:rsidP="00B17339">
      <w:pPr>
        <w:autoSpaceDE w:val="0"/>
        <w:autoSpaceDN w:val="0"/>
        <w:ind w:left="720"/>
        <w:contextualSpacing/>
        <w:jc w:val="both"/>
      </w:pPr>
    </w:p>
    <w:p w14:paraId="5C81E2A5" w14:textId="7F17A6C1" w:rsidR="006E3877" w:rsidRPr="00C250D3" w:rsidRDefault="00BF2CA1" w:rsidP="00055008">
      <w:pPr>
        <w:autoSpaceDE w:val="0"/>
        <w:autoSpaceDN w:val="0"/>
        <w:ind w:left="720" w:hanging="720"/>
        <w:contextualSpacing/>
        <w:jc w:val="both"/>
      </w:pPr>
      <w:r>
        <w:t>10.6</w:t>
      </w:r>
      <w:r>
        <w:tab/>
      </w:r>
      <w:r w:rsidR="006E3877" w:rsidRPr="00C250D3">
        <w:t>The contract specification has been clear on the equalities related duties on contractors, given the wide range of needs of our customers.</w:t>
      </w:r>
    </w:p>
    <w:p w14:paraId="7DE0BD5D" w14:textId="77777777" w:rsidR="006E3877" w:rsidRPr="00C250D3" w:rsidRDefault="006E3877" w:rsidP="00B17339">
      <w:pPr>
        <w:autoSpaceDE w:val="0"/>
        <w:autoSpaceDN w:val="0"/>
        <w:ind w:left="720"/>
        <w:contextualSpacing/>
        <w:jc w:val="both"/>
      </w:pPr>
    </w:p>
    <w:p w14:paraId="34F7B050" w14:textId="71520648" w:rsidR="006E3877" w:rsidRPr="00C250D3" w:rsidRDefault="00617B0E" w:rsidP="00AC634F">
      <w:pPr>
        <w:autoSpaceDE w:val="0"/>
        <w:autoSpaceDN w:val="0"/>
        <w:ind w:left="709" w:hanging="709"/>
        <w:contextualSpacing/>
        <w:jc w:val="both"/>
      </w:pPr>
      <w:r>
        <w:t>10.7</w:t>
      </w:r>
      <w:r>
        <w:tab/>
      </w:r>
      <w:r w:rsidR="006E3877" w:rsidRPr="00C250D3">
        <w:t>There will also be a continuation of a same day service provision for vulnerable and elderly tenants and service schedules will</w:t>
      </w:r>
      <w:r w:rsidR="00AC634F">
        <w:t xml:space="preserve"> prioritise</w:t>
      </w:r>
      <w:r w:rsidR="006E3877" w:rsidRPr="00C250D3">
        <w:t xml:space="preserve"> replacements for these residents.</w:t>
      </w:r>
    </w:p>
    <w:p w14:paraId="1D33CA6D" w14:textId="77777777" w:rsidR="006E3877" w:rsidRPr="00C250D3" w:rsidRDefault="006E3877" w:rsidP="00B17339">
      <w:pPr>
        <w:autoSpaceDE w:val="0"/>
        <w:autoSpaceDN w:val="0"/>
        <w:ind w:left="720"/>
        <w:contextualSpacing/>
        <w:jc w:val="both"/>
        <w:rPr>
          <w:rFonts w:ascii="TT4F92o00" w:hAnsi="TT4F92o00"/>
        </w:rPr>
      </w:pPr>
    </w:p>
    <w:p w14:paraId="259AB41C" w14:textId="446C9183" w:rsidR="006E3877" w:rsidRPr="00511837" w:rsidRDefault="001B06C0" w:rsidP="00B17339">
      <w:pPr>
        <w:autoSpaceDE w:val="0"/>
        <w:autoSpaceDN w:val="0"/>
        <w:jc w:val="both"/>
        <w:rPr>
          <w:b/>
          <w:bCs/>
          <w:lang w:eastAsia="en-GB"/>
        </w:rPr>
      </w:pPr>
      <w:r>
        <w:rPr>
          <w:b/>
          <w:bCs/>
        </w:rPr>
        <w:t>10.</w:t>
      </w:r>
      <w:r w:rsidR="00617B0E">
        <w:rPr>
          <w:b/>
          <w:bCs/>
        </w:rPr>
        <w:t>8</w:t>
      </w:r>
      <w:r w:rsidR="00617B0E" w:rsidRPr="00511837">
        <w:rPr>
          <w:b/>
          <w:bCs/>
        </w:rPr>
        <w:t xml:space="preserve">    </w:t>
      </w:r>
      <w:r w:rsidR="006E3877" w:rsidRPr="00511837">
        <w:rPr>
          <w:b/>
          <w:bCs/>
        </w:rPr>
        <w:t>Thriving economy</w:t>
      </w:r>
    </w:p>
    <w:p w14:paraId="3AFC4FA4" w14:textId="77777777" w:rsidR="006E3877" w:rsidRPr="00C250D3" w:rsidRDefault="006E3877" w:rsidP="00B17339">
      <w:pPr>
        <w:pStyle w:val="ListParagraph"/>
        <w:autoSpaceDE w:val="0"/>
        <w:autoSpaceDN w:val="0"/>
        <w:jc w:val="both"/>
        <w:rPr>
          <w:b/>
          <w:bCs/>
        </w:rPr>
      </w:pPr>
    </w:p>
    <w:p w14:paraId="7C882CA1" w14:textId="59CFD8E6" w:rsidR="006E3877" w:rsidRPr="00C250D3" w:rsidRDefault="00617B0E" w:rsidP="00055008">
      <w:pPr>
        <w:ind w:left="709" w:hanging="709"/>
        <w:jc w:val="both"/>
        <w:rPr>
          <w:rFonts w:cstheme="minorBidi"/>
        </w:rPr>
      </w:pPr>
      <w:r>
        <w:t>10.9</w:t>
      </w:r>
      <w:r>
        <w:tab/>
      </w:r>
      <w:r w:rsidR="006E3877" w:rsidRPr="00C250D3">
        <w:t>Every effort will be made to ensure that local businesses are encouraged to submit tenders, and that added social value to support communities will be a part of the evaluation process.</w:t>
      </w:r>
      <w:r w:rsidR="006E3877" w:rsidRPr="00C250D3">
        <w:rPr>
          <w:rFonts w:cstheme="minorBidi"/>
        </w:rPr>
        <w:t xml:space="preserve"> </w:t>
      </w:r>
    </w:p>
    <w:p w14:paraId="0F250577" w14:textId="77777777" w:rsidR="006E3877" w:rsidRPr="00C250D3" w:rsidRDefault="006E3877" w:rsidP="00B17339">
      <w:pPr>
        <w:pStyle w:val="ListParagraph"/>
        <w:ind w:left="0"/>
        <w:jc w:val="both"/>
        <w:rPr>
          <w:rFonts w:cstheme="minorBidi"/>
        </w:rPr>
      </w:pPr>
    </w:p>
    <w:p w14:paraId="1A4F6C24" w14:textId="4BF9AEEC" w:rsidR="006E3877" w:rsidRPr="00C250D3" w:rsidRDefault="00617B0E" w:rsidP="00055008">
      <w:pPr>
        <w:ind w:left="709" w:hanging="709"/>
        <w:jc w:val="both"/>
      </w:pPr>
      <w:r>
        <w:t>10.10</w:t>
      </w:r>
      <w:r>
        <w:tab/>
      </w:r>
      <w:r w:rsidR="006E3877" w:rsidRPr="00C250D3">
        <w:t>The winning tenderers will be strongly encouraged to support local suppliers (where possible) to ensure a high percentage of their supplier spend is in Harrow.</w:t>
      </w:r>
    </w:p>
    <w:p w14:paraId="61C573D3" w14:textId="06F29C05" w:rsidR="005C3191" w:rsidRDefault="006E3877" w:rsidP="00B17339">
      <w:pPr>
        <w:spacing w:before="240"/>
        <w:jc w:val="both"/>
        <w:rPr>
          <w:b/>
          <w:szCs w:val="24"/>
        </w:rPr>
      </w:pPr>
      <w:r>
        <w:rPr>
          <w:b/>
          <w:szCs w:val="24"/>
        </w:rPr>
        <w:t>1</w:t>
      </w:r>
      <w:r w:rsidR="001B06C0">
        <w:rPr>
          <w:b/>
          <w:szCs w:val="24"/>
        </w:rPr>
        <w:t>1</w:t>
      </w:r>
      <w:r>
        <w:rPr>
          <w:b/>
          <w:szCs w:val="24"/>
        </w:rPr>
        <w:t xml:space="preserve">.0 </w:t>
      </w:r>
      <w:r w:rsidR="0059630E">
        <w:rPr>
          <w:b/>
          <w:szCs w:val="24"/>
        </w:rPr>
        <w:tab/>
      </w:r>
      <w:r w:rsidR="00307F76" w:rsidRPr="00F06E4E">
        <w:rPr>
          <w:b/>
          <w:szCs w:val="24"/>
        </w:rPr>
        <w:t xml:space="preserve">Ward Councillors’ comments </w:t>
      </w:r>
    </w:p>
    <w:p w14:paraId="7EB8998F" w14:textId="77777777" w:rsidR="002C49FB" w:rsidRDefault="002C49FB" w:rsidP="00ED4183">
      <w:pPr>
        <w:ind w:left="709" w:hanging="709"/>
        <w:rPr>
          <w:bCs/>
        </w:rPr>
      </w:pPr>
    </w:p>
    <w:p w14:paraId="04575601" w14:textId="49ACD968" w:rsidR="00ED4183" w:rsidRDefault="006E3877" w:rsidP="00ED4183">
      <w:pPr>
        <w:ind w:left="709" w:hanging="709"/>
        <w:rPr>
          <w:rFonts w:ascii="Calibri" w:hAnsi="Calibri"/>
          <w:sz w:val="22"/>
        </w:rPr>
      </w:pPr>
      <w:r>
        <w:rPr>
          <w:bCs/>
        </w:rPr>
        <w:t>1</w:t>
      </w:r>
      <w:r w:rsidR="001B06C0">
        <w:rPr>
          <w:bCs/>
        </w:rPr>
        <w:t>1</w:t>
      </w:r>
      <w:r>
        <w:rPr>
          <w:bCs/>
        </w:rPr>
        <w:t>.1</w:t>
      </w:r>
      <w:r w:rsidR="00ED4183">
        <w:rPr>
          <w:bCs/>
        </w:rPr>
        <w:t xml:space="preserve">   </w:t>
      </w:r>
      <w:r w:rsidR="002C49FB" w:rsidRPr="00DE2AA0">
        <w:rPr>
          <w:rFonts w:cs="Arial"/>
        </w:rPr>
        <w:t xml:space="preserve">This procurement is Borough wide and affects all wards.  </w:t>
      </w:r>
      <w:r w:rsidR="002C49FB" w:rsidRPr="00DE2AA0">
        <w:rPr>
          <w:rFonts w:cs="Arial"/>
          <w:color w:val="242424"/>
          <w:shd w:val="clear" w:color="auto" w:fill="FFFFFF"/>
        </w:rPr>
        <w:t xml:space="preserve">We will have an active consultation programme with all councillors generally. </w:t>
      </w:r>
      <w:r w:rsidR="002C49FB" w:rsidRPr="00DE2AA0">
        <w:rPr>
          <w:rFonts w:cs="Arial"/>
          <w:color w:val="242424"/>
          <w:shd w:val="clear" w:color="auto" w:fill="FFFFFF"/>
        </w:rPr>
        <w:lastRenderedPageBreak/>
        <w:t xml:space="preserve">However, where there are issues or programmes of work that </w:t>
      </w:r>
      <w:r w:rsidR="001D5DBA" w:rsidRPr="00DE2AA0">
        <w:rPr>
          <w:rFonts w:cs="Arial"/>
          <w:color w:val="242424"/>
          <w:shd w:val="clear" w:color="auto" w:fill="FFFFFF"/>
        </w:rPr>
        <w:t>a</w:t>
      </w:r>
      <w:r w:rsidR="002C49FB" w:rsidRPr="00DE2AA0">
        <w:rPr>
          <w:rFonts w:cs="Arial"/>
          <w:color w:val="242424"/>
          <w:shd w:val="clear" w:color="auto" w:fill="FFFFFF"/>
        </w:rPr>
        <w:t>ffect specific wards we will ensure that meaningful consultation takes place with specific ward</w:t>
      </w:r>
      <w:r w:rsidR="00C9779C" w:rsidRPr="00DE2AA0">
        <w:rPr>
          <w:rFonts w:cs="Arial"/>
          <w:color w:val="242424"/>
          <w:shd w:val="clear" w:color="auto" w:fill="FFFFFF"/>
        </w:rPr>
        <w:t xml:space="preserve"> councillors.</w:t>
      </w:r>
      <w:r w:rsidR="002C49FB">
        <w:rPr>
          <w:rFonts w:ascii="Segoe UI" w:hAnsi="Segoe UI" w:cs="Segoe UI"/>
          <w:color w:val="242424"/>
          <w:shd w:val="clear" w:color="auto" w:fill="FFFFFF"/>
        </w:rPr>
        <w:t xml:space="preserve">  </w:t>
      </w:r>
      <w:r w:rsidR="002C49FB">
        <w:t xml:space="preserve"> </w:t>
      </w:r>
    </w:p>
    <w:p w14:paraId="050C1713" w14:textId="6FF9A781" w:rsidR="00105B8A" w:rsidRDefault="00511837" w:rsidP="00DE2AA0">
      <w:pPr>
        <w:pStyle w:val="Heading3"/>
        <w:spacing w:before="480" w:after="240"/>
        <w:rPr>
          <w:szCs w:val="24"/>
          <w:lang w:val="en-US"/>
        </w:rPr>
      </w:pPr>
      <w:r w:rsidRPr="009E1D68">
        <w:t>11</w:t>
      </w:r>
      <w:r w:rsidR="0059630E" w:rsidRPr="009E1D68">
        <w:t>.0</w:t>
      </w:r>
      <w:r w:rsidR="0059630E" w:rsidRPr="009E1D68">
        <w:tab/>
      </w:r>
      <w:r w:rsidR="00A81E19" w:rsidRPr="009E1D68">
        <w:t>R</w:t>
      </w:r>
      <w:r w:rsidR="001B0F70">
        <w:t>i</w:t>
      </w:r>
      <w:r w:rsidR="00A81E19" w:rsidRPr="009E1D68">
        <w:t>sk Management Implications</w:t>
      </w:r>
      <w:bookmarkStart w:id="2" w:name="_Hlk60923477"/>
      <w:bookmarkStart w:id="3" w:name="_Hlk60922991"/>
      <w:bookmarkStart w:id="4" w:name="_Hlk60923939"/>
    </w:p>
    <w:p w14:paraId="0B289C2F" w14:textId="05621F92" w:rsidR="00C53F1A" w:rsidRPr="005D77B8" w:rsidRDefault="00C53F1A" w:rsidP="005D77B8">
      <w:pPr>
        <w:ind w:left="720"/>
        <w:rPr>
          <w:bCs/>
        </w:rPr>
      </w:pPr>
      <w:r w:rsidRPr="005D77B8">
        <w:rPr>
          <w:bCs/>
        </w:rPr>
        <w:t xml:space="preserve">Risks included on corporate or directorate risk register? </w:t>
      </w:r>
      <w:r w:rsidRPr="005D77B8">
        <w:rPr>
          <w:b/>
        </w:rPr>
        <w:t>Yes</w:t>
      </w:r>
    </w:p>
    <w:p w14:paraId="2FFC64C8" w14:textId="77777777" w:rsidR="00C53F1A" w:rsidRPr="005D77B8" w:rsidRDefault="00C53F1A" w:rsidP="005D77B8">
      <w:pPr>
        <w:ind w:left="720" w:hanging="720"/>
        <w:rPr>
          <w:bCs/>
        </w:rPr>
      </w:pPr>
      <w:r w:rsidRPr="005D77B8">
        <w:rPr>
          <w:bCs/>
        </w:rPr>
        <w:t xml:space="preserve">  </w:t>
      </w:r>
    </w:p>
    <w:p w14:paraId="00B31EDB" w14:textId="28F35815" w:rsidR="00C53F1A" w:rsidRPr="005D77B8" w:rsidRDefault="00C53F1A" w:rsidP="005D77B8">
      <w:pPr>
        <w:ind w:left="720"/>
        <w:rPr>
          <w:bCs/>
        </w:rPr>
      </w:pPr>
      <w:r w:rsidRPr="005D77B8">
        <w:rPr>
          <w:bCs/>
        </w:rPr>
        <w:t xml:space="preserve">Separate risk register in place? </w:t>
      </w:r>
      <w:r w:rsidRPr="005D77B8">
        <w:rPr>
          <w:b/>
        </w:rPr>
        <w:t>Yes</w:t>
      </w:r>
    </w:p>
    <w:p w14:paraId="72B374FF" w14:textId="77777777" w:rsidR="00C53F1A" w:rsidRPr="005D77B8" w:rsidRDefault="00C53F1A" w:rsidP="005D77B8">
      <w:pPr>
        <w:ind w:left="720" w:hanging="720"/>
        <w:rPr>
          <w:bCs/>
        </w:rPr>
      </w:pPr>
    </w:p>
    <w:p w14:paraId="2E054B04" w14:textId="1A86DEF8" w:rsidR="00C53F1A" w:rsidRPr="005D77B8" w:rsidRDefault="00C53F1A" w:rsidP="005D77B8">
      <w:pPr>
        <w:ind w:left="720"/>
        <w:rPr>
          <w:bCs/>
        </w:rPr>
      </w:pPr>
      <w:r w:rsidRPr="005D77B8">
        <w:rPr>
          <w:bCs/>
        </w:rPr>
        <w:t>The relevant risks contained in the register are attached/summarised below.</w:t>
      </w:r>
      <w:r w:rsidRPr="005D77B8">
        <w:rPr>
          <w:b/>
        </w:rPr>
        <w:t xml:space="preserve"> Yes</w:t>
      </w:r>
    </w:p>
    <w:p w14:paraId="45AEB19F" w14:textId="77777777" w:rsidR="00105B8A" w:rsidRDefault="00105B8A" w:rsidP="00105B8A"/>
    <w:p w14:paraId="68B1512C" w14:textId="1549639E" w:rsidR="00C53F1A" w:rsidRDefault="00C53F1A" w:rsidP="00105B8A">
      <w:r>
        <w:t xml:space="preserve">The following key risks should be taken </w:t>
      </w:r>
      <w:r w:rsidR="00105B8A">
        <w:t>i</w:t>
      </w:r>
      <w:r>
        <w:t>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B313E6">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2"/>
          <w:p w14:paraId="756F1795" w14:textId="77777777" w:rsidR="00380F87" w:rsidRDefault="00380F87" w:rsidP="00B313E6">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B313E6">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B313E6">
            <w:pPr>
              <w:spacing w:line="247" w:lineRule="auto"/>
              <w:ind w:left="171" w:right="141"/>
              <w:rPr>
                <w:rFonts w:cs="Arial"/>
                <w:b/>
                <w:bCs/>
                <w:szCs w:val="24"/>
                <w:lang w:val="en-US" w:eastAsia="en-GB"/>
              </w:rPr>
            </w:pPr>
            <w:r>
              <w:rPr>
                <w:rFonts w:cs="Arial"/>
                <w:b/>
                <w:bCs/>
                <w:szCs w:val="24"/>
                <w:lang w:val="en-US" w:eastAsia="en-GB"/>
              </w:rPr>
              <w:t>RAG Status</w:t>
            </w:r>
          </w:p>
        </w:tc>
      </w:tr>
      <w:tr w:rsidR="00606FAA" w14:paraId="4B1F0661" w14:textId="77777777" w:rsidTr="00736953">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7F57465B" w:rsidR="00606FAA" w:rsidRPr="00AE7FC5" w:rsidRDefault="00606FAA" w:rsidP="00606FAA">
            <w:pPr>
              <w:spacing w:line="247" w:lineRule="auto"/>
              <w:ind w:right="141"/>
              <w:rPr>
                <w:rFonts w:cs="Arial"/>
                <w:szCs w:val="24"/>
                <w:lang w:val="en-US" w:eastAsia="en-GB"/>
              </w:rPr>
            </w:pPr>
            <w:r w:rsidRPr="00736953">
              <w:rPr>
                <w:rFonts w:cs="Arial"/>
                <w:szCs w:val="24"/>
                <w:lang w:val="en-US" w:eastAsia="en-GB"/>
              </w:rPr>
              <w:t>Lack of service continuity to meet statutory requirement</w:t>
            </w:r>
            <w:r w:rsidR="001B240C">
              <w:rPr>
                <w:rFonts w:cs="Arial"/>
                <w:szCs w:val="24"/>
                <w:lang w:val="en-US" w:eastAsia="en-GB"/>
              </w:rPr>
              <w:t xml:space="preserve"> in 2025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CD158" w14:textId="57618311" w:rsidR="00606FAA" w:rsidRPr="00AE7FC5" w:rsidRDefault="00606FAA" w:rsidP="00744CFE">
            <w:pPr>
              <w:pStyle w:val="ListParagraph"/>
              <w:numPr>
                <w:ilvl w:val="0"/>
                <w:numId w:val="10"/>
              </w:numPr>
              <w:spacing w:after="160" w:line="252" w:lineRule="auto"/>
              <w:ind w:left="307"/>
              <w:contextualSpacing/>
              <w:rPr>
                <w:szCs w:val="24"/>
                <w:lang w:val="en-US"/>
              </w:rPr>
            </w:pPr>
            <w:r w:rsidRPr="00736953">
              <w:rPr>
                <w:szCs w:val="24"/>
              </w:rPr>
              <w:t xml:space="preserve"> An extension</w:t>
            </w:r>
            <w:r w:rsidR="00B91B1D" w:rsidRPr="00736953">
              <w:rPr>
                <w:szCs w:val="24"/>
              </w:rPr>
              <w:t xml:space="preserve"> </w:t>
            </w:r>
            <w:r w:rsidR="00BC78B2" w:rsidRPr="00736953">
              <w:rPr>
                <w:szCs w:val="24"/>
              </w:rPr>
              <w:t xml:space="preserve">of up to 2 years is </w:t>
            </w:r>
            <w:r w:rsidRPr="00736953">
              <w:rPr>
                <w:szCs w:val="24"/>
              </w:rPr>
              <w:t xml:space="preserve"> in place, this will allow sufficient time and resources to undertake a re-procurement, whilst continuing to provide essential react</w:t>
            </w:r>
            <w:r w:rsidR="00B47F00">
              <w:rPr>
                <w:szCs w:val="24"/>
              </w:rPr>
              <w:t xml:space="preserve">ive and </w:t>
            </w:r>
            <w:r w:rsidRPr="00736953">
              <w:rPr>
                <w:szCs w:val="24"/>
              </w:rPr>
              <w:t xml:space="preserve">maintenance services to all our tenants across the Borough.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hideMark/>
          </w:tcPr>
          <w:p w14:paraId="1BD16511" w14:textId="1452C05C" w:rsidR="00606FAA" w:rsidRDefault="00DE2AA0" w:rsidP="00606FAA">
            <w:pPr>
              <w:spacing w:line="247" w:lineRule="auto"/>
              <w:ind w:left="171" w:right="141"/>
              <w:rPr>
                <w:rFonts w:cs="Arial"/>
                <w:szCs w:val="24"/>
                <w:lang w:val="en-US" w:eastAsia="en-GB"/>
              </w:rPr>
            </w:pPr>
            <w:r>
              <w:rPr>
                <w:rFonts w:cs="Arial"/>
                <w:szCs w:val="24"/>
                <w:lang w:val="en-US" w:eastAsia="en-GB"/>
              </w:rPr>
              <w:t>Green</w:t>
            </w:r>
          </w:p>
        </w:tc>
      </w:tr>
      <w:tr w:rsidR="00606FAA" w14:paraId="5C5E014B" w14:textId="77777777" w:rsidTr="00B44BBC">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24804" w14:textId="079AE431" w:rsidR="00606FAA" w:rsidRPr="00AE7FC5" w:rsidRDefault="00626CFE" w:rsidP="00606FAA">
            <w:pPr>
              <w:spacing w:line="247" w:lineRule="auto"/>
              <w:ind w:right="141"/>
              <w:rPr>
                <w:rFonts w:cs="Arial"/>
                <w:szCs w:val="24"/>
                <w:lang w:val="en-US" w:eastAsia="en-GB"/>
              </w:rPr>
            </w:pPr>
            <w:r w:rsidRPr="00736953">
              <w:rPr>
                <w:rFonts w:cs="Arial"/>
                <w:szCs w:val="24"/>
                <w:lang w:val="en-US" w:eastAsia="en-GB"/>
              </w:rPr>
              <w:t>Brexit</w:t>
            </w:r>
            <w:r>
              <w:rPr>
                <w:rFonts w:cs="Arial"/>
                <w:szCs w:val="24"/>
                <w:lang w:val="en-US" w:eastAsia="en-GB"/>
              </w:rPr>
              <w:t>,</w:t>
            </w:r>
            <w:r w:rsidRPr="00736953">
              <w:rPr>
                <w:rFonts w:cs="Arial"/>
                <w:szCs w:val="24"/>
                <w:lang w:val="en-US" w:eastAsia="en-GB"/>
              </w:rPr>
              <w:t xml:space="preserve"> post-covid </w:t>
            </w:r>
            <w:r>
              <w:rPr>
                <w:rFonts w:cs="Arial"/>
                <w:szCs w:val="24"/>
                <w:lang w:val="en-US" w:eastAsia="en-GB"/>
              </w:rPr>
              <w:t xml:space="preserve">impact, supplies, and resources impact on the </w:t>
            </w:r>
            <w:r w:rsidRPr="00736953">
              <w:rPr>
                <w:rFonts w:cs="Arial"/>
                <w:szCs w:val="24"/>
                <w:lang w:val="en-US" w:eastAsia="en-GB"/>
              </w:rPr>
              <w:t xml:space="preserve">construction industry </w:t>
            </w:r>
            <w:r>
              <w:rPr>
                <w:rFonts w:cs="Arial"/>
                <w:szCs w:val="24"/>
                <w:lang w:val="en-US" w:eastAsia="en-GB"/>
              </w:rPr>
              <w:t xml:space="preserve">on </w:t>
            </w:r>
            <w:r w:rsidRPr="00736953">
              <w:rPr>
                <w:rFonts w:cs="Arial"/>
                <w:szCs w:val="24"/>
                <w:lang w:val="en-US" w:eastAsia="en-GB"/>
              </w:rPr>
              <w:t>labou</w:t>
            </w:r>
            <w:r>
              <w:rPr>
                <w:rFonts w:cs="Arial"/>
                <w:szCs w:val="24"/>
                <w:lang w:val="en-US" w:eastAsia="en-GB"/>
              </w:rPr>
              <w:t xml:space="preserve">r and </w:t>
            </w:r>
            <w:r w:rsidRPr="00736953">
              <w:rPr>
                <w:rFonts w:cs="Arial"/>
                <w:szCs w:val="24"/>
                <w:lang w:val="en-US" w:eastAsia="en-GB"/>
              </w:rPr>
              <w:t>supplies</w:t>
            </w:r>
            <w:r>
              <w:rPr>
                <w:rFonts w:cs="Arial"/>
                <w:szCs w:val="24"/>
                <w:lang w:val="en-US" w:eastAsia="en-GB"/>
              </w:rPr>
              <w:t xml:space="preserve">. This is leading to </w:t>
            </w:r>
            <w:r w:rsidRPr="00736953">
              <w:rPr>
                <w:rFonts w:cs="Arial"/>
                <w:szCs w:val="24"/>
                <w:lang w:val="en-US" w:eastAsia="en-GB"/>
              </w:rPr>
              <w:t>building cost inflation</w:t>
            </w:r>
            <w:r>
              <w:rPr>
                <w:rFonts w:cs="Arial"/>
                <w:szCs w:val="24"/>
                <w:lang w:val="en-US" w:eastAsia="en-GB"/>
              </w:rPr>
              <w:t xml:space="preserve"> and shortages</w:t>
            </w:r>
            <w:r w:rsidRPr="00736953">
              <w:rPr>
                <w:rFonts w:cs="Arial"/>
                <w:szCs w:val="24"/>
                <w:lang w:val="en-US" w:eastAsia="en-GB"/>
              </w:rPr>
              <w: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D81AA" w14:textId="48F84B54" w:rsidR="009968C5" w:rsidRPr="00AE7FC5" w:rsidRDefault="007D77C6" w:rsidP="00744CFE">
            <w:pPr>
              <w:pStyle w:val="ListParagraph"/>
              <w:numPr>
                <w:ilvl w:val="0"/>
                <w:numId w:val="10"/>
              </w:numPr>
              <w:spacing w:after="160" w:line="252" w:lineRule="auto"/>
              <w:ind w:left="307"/>
              <w:contextualSpacing/>
              <w:rPr>
                <w:szCs w:val="24"/>
                <w:lang w:val="en-US"/>
              </w:rPr>
            </w:pPr>
            <w:r w:rsidRPr="00AE7FC5">
              <w:rPr>
                <w:szCs w:val="24"/>
              </w:rPr>
              <w:t>Review m</w:t>
            </w:r>
            <w:r w:rsidR="009968C5" w:rsidRPr="00AE7FC5">
              <w:rPr>
                <w:szCs w:val="24"/>
              </w:rPr>
              <w:t xml:space="preserve">arket trends </w:t>
            </w:r>
            <w:r w:rsidRPr="00AE7FC5">
              <w:rPr>
                <w:szCs w:val="24"/>
              </w:rPr>
              <w:t xml:space="preserve">and liaise with </w:t>
            </w:r>
            <w:r w:rsidR="00AE7FC5" w:rsidRPr="00AE7FC5">
              <w:rPr>
                <w:szCs w:val="24"/>
              </w:rPr>
              <w:t>similar organisation on service impact and national trends</w:t>
            </w:r>
          </w:p>
          <w:p w14:paraId="74462463" w14:textId="79AB0ACE" w:rsidR="00836893" w:rsidRDefault="00780E3D" w:rsidP="00744CFE">
            <w:pPr>
              <w:pStyle w:val="ListParagraph"/>
              <w:numPr>
                <w:ilvl w:val="0"/>
                <w:numId w:val="10"/>
              </w:numPr>
              <w:spacing w:after="160" w:line="252" w:lineRule="auto"/>
              <w:ind w:left="307"/>
              <w:contextualSpacing/>
              <w:rPr>
                <w:szCs w:val="24"/>
                <w:lang w:val="en-US"/>
              </w:rPr>
            </w:pPr>
            <w:r w:rsidRPr="00AE7FC5">
              <w:rPr>
                <w:szCs w:val="24"/>
                <w:lang w:val="en-US"/>
              </w:rPr>
              <w:t>Interim c</w:t>
            </w:r>
            <w:r w:rsidR="00836893" w:rsidRPr="00AE7FC5">
              <w:rPr>
                <w:szCs w:val="24"/>
                <w:lang w:val="en-US"/>
              </w:rPr>
              <w:t>ontract price adjustments</w:t>
            </w:r>
            <w:r w:rsidR="00836893">
              <w:rPr>
                <w:szCs w:val="24"/>
                <w:lang w:val="en-US"/>
              </w:rPr>
              <w:t xml:space="preserve"> </w:t>
            </w:r>
          </w:p>
          <w:p w14:paraId="4126E9FC" w14:textId="77777777" w:rsidR="00736953" w:rsidRDefault="00140B05" w:rsidP="00744CFE">
            <w:pPr>
              <w:pStyle w:val="ListParagraph"/>
              <w:numPr>
                <w:ilvl w:val="0"/>
                <w:numId w:val="10"/>
              </w:numPr>
              <w:spacing w:after="160" w:line="252" w:lineRule="auto"/>
              <w:ind w:left="307"/>
              <w:contextualSpacing/>
              <w:rPr>
                <w:szCs w:val="24"/>
                <w:lang w:val="en-US"/>
              </w:rPr>
            </w:pPr>
            <w:r>
              <w:rPr>
                <w:szCs w:val="24"/>
                <w:lang w:val="en-US"/>
              </w:rPr>
              <w:t>Enhanced</w:t>
            </w:r>
            <w:r w:rsidR="00736953">
              <w:rPr>
                <w:szCs w:val="24"/>
                <w:lang w:val="en-US"/>
              </w:rPr>
              <w:t xml:space="preserve"> stock holding </w:t>
            </w:r>
          </w:p>
          <w:p w14:paraId="1BD1A3D6" w14:textId="72DFC47F" w:rsidR="002B1BC9" w:rsidRDefault="00B625DA" w:rsidP="00744CFE">
            <w:pPr>
              <w:pStyle w:val="ListParagraph"/>
              <w:numPr>
                <w:ilvl w:val="0"/>
                <w:numId w:val="10"/>
              </w:numPr>
              <w:spacing w:after="160" w:line="252" w:lineRule="auto"/>
              <w:ind w:left="307"/>
              <w:contextualSpacing/>
              <w:rPr>
                <w:szCs w:val="24"/>
                <w:lang w:val="en-US"/>
              </w:rPr>
            </w:pPr>
            <w:r>
              <w:rPr>
                <w:szCs w:val="24"/>
                <w:lang w:val="en-US"/>
              </w:rPr>
              <w:t>Contingency planning to reduce level of services on some trades</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54870F2D" w14:textId="22F5E35C" w:rsidR="00606FAA" w:rsidRDefault="00DE2AA0" w:rsidP="00606FAA">
            <w:pPr>
              <w:spacing w:line="247" w:lineRule="auto"/>
              <w:ind w:left="171" w:right="141"/>
              <w:rPr>
                <w:rFonts w:cs="Arial"/>
                <w:szCs w:val="24"/>
                <w:lang w:val="en-US" w:eastAsia="en-GB"/>
              </w:rPr>
            </w:pPr>
            <w:r>
              <w:rPr>
                <w:rFonts w:cs="Arial"/>
                <w:szCs w:val="24"/>
                <w:lang w:val="en-US" w:eastAsia="en-GB"/>
              </w:rPr>
              <w:t>Amber</w:t>
            </w:r>
          </w:p>
        </w:tc>
      </w:tr>
      <w:tr w:rsidR="00606FAA" w14:paraId="070B7E3D" w14:textId="77777777" w:rsidTr="009F676C">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CB42D" w14:textId="230E2EA7" w:rsidR="00606FAA" w:rsidRDefault="0095395F" w:rsidP="00606FAA">
            <w:pPr>
              <w:spacing w:line="247" w:lineRule="auto"/>
              <w:ind w:right="141"/>
              <w:rPr>
                <w:rFonts w:cs="Arial"/>
                <w:szCs w:val="24"/>
                <w:lang w:val="en-US" w:eastAsia="en-GB"/>
              </w:rPr>
            </w:pPr>
            <w:r>
              <w:rPr>
                <w:rFonts w:cs="Arial"/>
                <w:szCs w:val="24"/>
                <w:lang w:val="en-US" w:eastAsia="en-GB"/>
              </w:rPr>
              <w:t>Lack of c</w:t>
            </w:r>
            <w:r w:rsidR="00F9127B">
              <w:rPr>
                <w:rFonts w:cs="Arial"/>
                <w:szCs w:val="24"/>
                <w:lang w:val="en-US" w:eastAsia="en-GB"/>
              </w:rPr>
              <w:t>onformit</w:t>
            </w:r>
            <w:r w:rsidR="002C016C">
              <w:rPr>
                <w:rFonts w:cs="Arial"/>
                <w:szCs w:val="24"/>
                <w:lang w:val="en-US" w:eastAsia="en-GB"/>
              </w:rPr>
              <w:t xml:space="preserve">y to Gas Safe Regulations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910CA" w14:textId="103BA048" w:rsidR="00606FAA" w:rsidRPr="009D6630" w:rsidRDefault="002C016C" w:rsidP="00744CFE">
            <w:pPr>
              <w:pStyle w:val="ListParagraph"/>
              <w:numPr>
                <w:ilvl w:val="0"/>
                <w:numId w:val="10"/>
              </w:numPr>
              <w:spacing w:after="160" w:line="252" w:lineRule="auto"/>
              <w:ind w:left="307"/>
              <w:contextualSpacing/>
              <w:rPr>
                <w:szCs w:val="24"/>
                <w:lang w:val="en-US"/>
              </w:rPr>
            </w:pPr>
            <w:r>
              <w:rPr>
                <w:szCs w:val="24"/>
                <w:lang w:val="en-US"/>
              </w:rPr>
              <w:t xml:space="preserve">Engagement of Corgi Gas Independent Consultants to carry out external audits on </w:t>
            </w:r>
            <w:r w:rsidR="00F9437B">
              <w:rPr>
                <w:szCs w:val="24"/>
                <w:lang w:val="en-US"/>
              </w:rPr>
              <w:t xml:space="preserve">requirements under Gas Safe regulations and adherence to policies and procedures </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33560BB2" w14:textId="4D95686E" w:rsidR="00606FAA" w:rsidRDefault="00DE2AA0" w:rsidP="00606FAA">
            <w:pPr>
              <w:spacing w:line="247" w:lineRule="auto"/>
              <w:ind w:left="171" w:right="141"/>
              <w:rPr>
                <w:rFonts w:cs="Arial"/>
                <w:szCs w:val="24"/>
                <w:lang w:val="en-US" w:eastAsia="en-GB"/>
              </w:rPr>
            </w:pPr>
            <w:r>
              <w:rPr>
                <w:rFonts w:cs="Arial"/>
                <w:szCs w:val="24"/>
                <w:lang w:val="en-US" w:eastAsia="en-GB"/>
              </w:rPr>
              <w:t>Amber</w:t>
            </w:r>
          </w:p>
        </w:tc>
      </w:tr>
      <w:tr w:rsidR="000F4D59" w14:paraId="362DBE52" w14:textId="77777777" w:rsidTr="009F676C">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31D14" w14:textId="77777777" w:rsidR="000F4D59" w:rsidRPr="000913A5" w:rsidRDefault="00D44575" w:rsidP="00606FAA">
            <w:pPr>
              <w:spacing w:line="247" w:lineRule="auto"/>
              <w:ind w:right="141"/>
              <w:rPr>
                <w:rFonts w:cs="Arial"/>
                <w:szCs w:val="24"/>
                <w:lang w:eastAsia="en-GB"/>
              </w:rPr>
            </w:pPr>
            <w:r w:rsidRPr="000913A5">
              <w:rPr>
                <w:rFonts w:cs="Arial"/>
                <w:szCs w:val="24"/>
                <w:lang w:eastAsia="en-GB"/>
              </w:rPr>
              <w:t xml:space="preserve">Financial risk due to increased contract values </w:t>
            </w:r>
          </w:p>
          <w:p w14:paraId="04A6946C" w14:textId="31937D85" w:rsidR="002172B4" w:rsidRPr="000913A5" w:rsidRDefault="002172B4" w:rsidP="00606FAA">
            <w:pPr>
              <w:spacing w:line="247" w:lineRule="auto"/>
              <w:ind w:right="141"/>
              <w:rPr>
                <w:rFonts w:cs="Arial"/>
                <w:color w:val="E36C0A" w:themeColor="accent6" w:themeShade="BF"/>
                <w:szCs w:val="24"/>
                <w:lang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CB904" w14:textId="28BB0376" w:rsidR="000F4D59" w:rsidRDefault="00D44575" w:rsidP="00E85613">
            <w:pPr>
              <w:pStyle w:val="ListParagraph"/>
              <w:numPr>
                <w:ilvl w:val="0"/>
                <w:numId w:val="10"/>
              </w:numPr>
              <w:spacing w:after="160" w:line="252" w:lineRule="auto"/>
              <w:contextualSpacing/>
              <w:rPr>
                <w:szCs w:val="24"/>
              </w:rPr>
            </w:pPr>
            <w:r w:rsidRPr="00E85613">
              <w:rPr>
                <w:szCs w:val="24"/>
              </w:rPr>
              <w:lastRenderedPageBreak/>
              <w:t xml:space="preserve">Impact on the HRA. Is </w:t>
            </w:r>
            <w:r w:rsidR="00E85613" w:rsidRPr="00E85613">
              <w:rPr>
                <w:szCs w:val="24"/>
              </w:rPr>
              <w:t xml:space="preserve">     </w:t>
            </w:r>
            <w:r w:rsidRPr="00E85613">
              <w:rPr>
                <w:szCs w:val="24"/>
              </w:rPr>
              <w:t xml:space="preserve">offset by the lower </w:t>
            </w:r>
            <w:r w:rsidRPr="00E85613">
              <w:rPr>
                <w:szCs w:val="24"/>
              </w:rPr>
              <w:lastRenderedPageBreak/>
              <w:t>contract value than anticipated from the communal tender pricing submission.</w:t>
            </w:r>
            <w:r w:rsidR="00A25EF8">
              <w:rPr>
                <w:szCs w:val="24"/>
              </w:rPr>
              <w:t xml:space="preserve"> </w:t>
            </w:r>
            <w:r w:rsidR="008D3516">
              <w:rPr>
                <w:szCs w:val="24"/>
              </w:rPr>
              <w:t>However variable element has increased</w:t>
            </w:r>
            <w:r w:rsidR="00A25EF8">
              <w:rPr>
                <w:szCs w:val="24"/>
              </w:rPr>
              <w:t>-need to find savings or reduced elements of work to stay within budget.</w:t>
            </w:r>
          </w:p>
          <w:p w14:paraId="1AB2C36D" w14:textId="5BA519D3" w:rsidR="00CC513D" w:rsidRDefault="00CC513D" w:rsidP="00E85613">
            <w:pPr>
              <w:pStyle w:val="ListParagraph"/>
              <w:numPr>
                <w:ilvl w:val="0"/>
                <w:numId w:val="10"/>
              </w:numPr>
              <w:spacing w:after="160" w:line="252" w:lineRule="auto"/>
              <w:contextualSpacing/>
              <w:rPr>
                <w:szCs w:val="24"/>
              </w:rPr>
            </w:pPr>
            <w:r>
              <w:rPr>
                <w:szCs w:val="24"/>
              </w:rPr>
              <w:t>Robust intervention by Fusion21 to support service continuity.</w:t>
            </w:r>
          </w:p>
          <w:p w14:paraId="0598A657" w14:textId="457FC116" w:rsidR="00671B50" w:rsidRPr="00E85613" w:rsidRDefault="00671B50" w:rsidP="008D3D68">
            <w:pPr>
              <w:pStyle w:val="ListParagraph"/>
              <w:spacing w:after="160" w:line="252" w:lineRule="auto"/>
              <w:contextualSpacing/>
              <w:rPr>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4C32066F" w14:textId="203F22B3" w:rsidR="000F4D59" w:rsidRDefault="00DE2AA0" w:rsidP="00606FAA">
            <w:pPr>
              <w:spacing w:line="247" w:lineRule="auto"/>
              <w:ind w:left="171" w:right="141"/>
              <w:rPr>
                <w:rFonts w:cs="Arial"/>
                <w:szCs w:val="24"/>
                <w:lang w:val="en-US" w:eastAsia="en-GB"/>
              </w:rPr>
            </w:pPr>
            <w:r>
              <w:rPr>
                <w:rFonts w:cs="Arial"/>
                <w:szCs w:val="24"/>
                <w:lang w:val="en-US" w:eastAsia="en-GB"/>
              </w:rPr>
              <w:lastRenderedPageBreak/>
              <w:t>Amber</w:t>
            </w:r>
          </w:p>
        </w:tc>
      </w:tr>
      <w:tr w:rsidR="00C32E53" w14:paraId="4563546B" w14:textId="77777777" w:rsidTr="009F676C">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F2F7E" w14:textId="4010DA30" w:rsidR="00C32E53" w:rsidRPr="000913A5" w:rsidRDefault="00FF1F8C" w:rsidP="00606FAA">
            <w:pPr>
              <w:spacing w:line="247" w:lineRule="auto"/>
              <w:ind w:right="141"/>
              <w:rPr>
                <w:rFonts w:cs="Arial"/>
                <w:szCs w:val="24"/>
                <w:lang w:eastAsia="en-GB"/>
              </w:rPr>
            </w:pPr>
            <w:r>
              <w:rPr>
                <w:rFonts w:cs="Arial"/>
                <w:szCs w:val="24"/>
                <w:lang w:eastAsia="en-GB"/>
              </w:rPr>
              <w:t xml:space="preserve">Ineffective Contract Management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5AA42" w14:textId="48408373" w:rsidR="00C32E53" w:rsidRDefault="00FF1F8C" w:rsidP="00E85613">
            <w:pPr>
              <w:pStyle w:val="ListParagraph"/>
              <w:numPr>
                <w:ilvl w:val="0"/>
                <w:numId w:val="10"/>
              </w:numPr>
              <w:spacing w:after="160" w:line="252" w:lineRule="auto"/>
              <w:contextualSpacing/>
              <w:rPr>
                <w:szCs w:val="24"/>
              </w:rPr>
            </w:pPr>
            <w:r>
              <w:rPr>
                <w:szCs w:val="24"/>
              </w:rPr>
              <w:t>Monthly contractor appraisals scheduled</w:t>
            </w:r>
            <w:r w:rsidR="007A5281">
              <w:rPr>
                <w:szCs w:val="24"/>
              </w:rPr>
              <w:t xml:space="preserve"> for servicing, repairs and capital programmes, management of emergencies</w:t>
            </w:r>
            <w:r w:rsidR="0030620E">
              <w:rPr>
                <w:szCs w:val="24"/>
              </w:rPr>
              <w:t>, contract compliance</w:t>
            </w:r>
          </w:p>
          <w:p w14:paraId="6DFFBADA" w14:textId="34BF4B14" w:rsidR="0030620E" w:rsidRDefault="00D61DD6" w:rsidP="00E85613">
            <w:pPr>
              <w:pStyle w:val="ListParagraph"/>
              <w:numPr>
                <w:ilvl w:val="0"/>
                <w:numId w:val="10"/>
              </w:numPr>
              <w:spacing w:after="160" w:line="252" w:lineRule="auto"/>
              <w:contextualSpacing/>
              <w:rPr>
                <w:szCs w:val="24"/>
              </w:rPr>
            </w:pPr>
            <w:r>
              <w:rPr>
                <w:szCs w:val="24"/>
              </w:rPr>
              <w:t xml:space="preserve">Monthly participation by Fusion21 on service performance, </w:t>
            </w:r>
            <w:r w:rsidR="003633B5">
              <w:rPr>
                <w:szCs w:val="24"/>
              </w:rPr>
              <w:t>costings,</w:t>
            </w:r>
            <w:r w:rsidR="00D77CF6">
              <w:rPr>
                <w:szCs w:val="24"/>
              </w:rPr>
              <w:t xml:space="preserve"> and contract compliance</w:t>
            </w:r>
          </w:p>
          <w:p w14:paraId="68FC69E9" w14:textId="37DCC8C0" w:rsidR="00FF1F8C" w:rsidRDefault="00FF1F8C" w:rsidP="00E85613">
            <w:pPr>
              <w:pStyle w:val="ListParagraph"/>
              <w:numPr>
                <w:ilvl w:val="0"/>
                <w:numId w:val="10"/>
              </w:numPr>
              <w:spacing w:after="160" w:line="252" w:lineRule="auto"/>
              <w:contextualSpacing/>
              <w:rPr>
                <w:szCs w:val="24"/>
              </w:rPr>
            </w:pPr>
            <w:r>
              <w:rPr>
                <w:szCs w:val="24"/>
              </w:rPr>
              <w:t>Review of KPI performance data</w:t>
            </w:r>
            <w:r w:rsidR="00FF62E8">
              <w:rPr>
                <w:szCs w:val="24"/>
              </w:rPr>
              <w:t xml:space="preserve"> monthly </w:t>
            </w:r>
          </w:p>
          <w:p w14:paraId="55CF8371" w14:textId="77016481" w:rsidR="00FF62E8" w:rsidRDefault="00FF62E8" w:rsidP="00E85613">
            <w:pPr>
              <w:pStyle w:val="ListParagraph"/>
              <w:numPr>
                <w:ilvl w:val="0"/>
                <w:numId w:val="10"/>
              </w:numPr>
              <w:spacing w:after="160" w:line="252" w:lineRule="auto"/>
              <w:contextualSpacing/>
              <w:rPr>
                <w:szCs w:val="24"/>
              </w:rPr>
            </w:pPr>
            <w:r>
              <w:rPr>
                <w:szCs w:val="24"/>
              </w:rPr>
              <w:t xml:space="preserve">Review of financial data to ensure </w:t>
            </w:r>
            <w:r w:rsidR="00504BF5">
              <w:rPr>
                <w:szCs w:val="24"/>
              </w:rPr>
              <w:t>value for money (</w:t>
            </w:r>
            <w:r>
              <w:rPr>
                <w:szCs w:val="24"/>
              </w:rPr>
              <w:t>VFM</w:t>
            </w:r>
            <w:r w:rsidR="00504BF5">
              <w:rPr>
                <w:szCs w:val="24"/>
              </w:rPr>
              <w:t>)</w:t>
            </w:r>
            <w:r>
              <w:rPr>
                <w:szCs w:val="24"/>
              </w:rPr>
              <w:t xml:space="preserve">  monthly </w:t>
            </w:r>
            <w:r w:rsidR="0081034D">
              <w:rPr>
                <w:szCs w:val="24"/>
              </w:rPr>
              <w:t>in line with contract price</w:t>
            </w:r>
            <w:r w:rsidR="007A5281">
              <w:rPr>
                <w:szCs w:val="24"/>
              </w:rPr>
              <w:t>s</w:t>
            </w:r>
          </w:p>
          <w:p w14:paraId="39115238" w14:textId="77777777" w:rsidR="00FF62E8" w:rsidRDefault="00FF62E8" w:rsidP="00E85613">
            <w:pPr>
              <w:pStyle w:val="ListParagraph"/>
              <w:numPr>
                <w:ilvl w:val="0"/>
                <w:numId w:val="10"/>
              </w:numPr>
              <w:spacing w:after="160" w:line="252" w:lineRule="auto"/>
              <w:contextualSpacing/>
              <w:rPr>
                <w:szCs w:val="24"/>
              </w:rPr>
            </w:pPr>
            <w:r>
              <w:rPr>
                <w:szCs w:val="24"/>
              </w:rPr>
              <w:t xml:space="preserve">Review of customer satisfaction survey results monthly </w:t>
            </w:r>
          </w:p>
          <w:p w14:paraId="0FB35E68" w14:textId="438BD084" w:rsidR="00FF62E8" w:rsidRDefault="009E1408" w:rsidP="00E85613">
            <w:pPr>
              <w:pStyle w:val="ListParagraph"/>
              <w:numPr>
                <w:ilvl w:val="0"/>
                <w:numId w:val="10"/>
              </w:numPr>
              <w:spacing w:after="160" w:line="252" w:lineRule="auto"/>
              <w:contextualSpacing/>
              <w:rPr>
                <w:szCs w:val="24"/>
              </w:rPr>
            </w:pPr>
            <w:r>
              <w:rPr>
                <w:szCs w:val="24"/>
              </w:rPr>
              <w:t xml:space="preserve">Statutory Gas Safe Regulations by monitoring CP12 </w:t>
            </w:r>
            <w:r w:rsidR="0081034D">
              <w:rPr>
                <w:szCs w:val="24"/>
              </w:rPr>
              <w:t>certificates</w:t>
            </w:r>
          </w:p>
          <w:p w14:paraId="70CB747B" w14:textId="11D18691" w:rsidR="0081034D" w:rsidRDefault="0030620E" w:rsidP="00E85613">
            <w:pPr>
              <w:pStyle w:val="ListParagraph"/>
              <w:numPr>
                <w:ilvl w:val="0"/>
                <w:numId w:val="10"/>
              </w:numPr>
              <w:spacing w:after="160" w:line="252" w:lineRule="auto"/>
              <w:contextualSpacing/>
              <w:rPr>
                <w:szCs w:val="24"/>
              </w:rPr>
            </w:pPr>
            <w:r>
              <w:rPr>
                <w:szCs w:val="24"/>
              </w:rPr>
              <w:t>3 yearly review of gas services by independent Corgi</w:t>
            </w:r>
            <w:r w:rsidR="00071179">
              <w:rPr>
                <w:szCs w:val="24"/>
              </w:rPr>
              <w:t xml:space="preserve"> (Council for </w:t>
            </w:r>
            <w:r w:rsidR="00071179">
              <w:rPr>
                <w:szCs w:val="24"/>
              </w:rPr>
              <w:lastRenderedPageBreak/>
              <w:t>Registered Gas Installers)</w:t>
            </w:r>
            <w:r>
              <w:rPr>
                <w:szCs w:val="24"/>
              </w:rPr>
              <w:t xml:space="preserve"> </w:t>
            </w:r>
            <w:r w:rsidR="00BA60E5">
              <w:rPr>
                <w:szCs w:val="24"/>
              </w:rPr>
              <w:t>gas consultants</w:t>
            </w:r>
            <w:r w:rsidR="00071179">
              <w:rPr>
                <w:szCs w:val="24"/>
              </w:rPr>
              <w:t>.</w:t>
            </w:r>
            <w:r w:rsidR="00BA60E5">
              <w:rPr>
                <w:szCs w:val="24"/>
              </w:rPr>
              <w:t xml:space="preserve"> </w:t>
            </w:r>
          </w:p>
          <w:p w14:paraId="768DC2C5" w14:textId="320B265C" w:rsidR="0030620E" w:rsidRPr="00E85613" w:rsidRDefault="0030620E" w:rsidP="00055008">
            <w:pPr>
              <w:pStyle w:val="ListParagraph"/>
              <w:spacing w:after="160" w:line="252" w:lineRule="auto"/>
              <w:contextualSpacing/>
              <w:rPr>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37760324" w14:textId="5BAC1F1A" w:rsidR="00C32E53" w:rsidRDefault="00DE2AA0" w:rsidP="00606FAA">
            <w:pPr>
              <w:spacing w:line="247" w:lineRule="auto"/>
              <w:ind w:left="171" w:right="141"/>
              <w:rPr>
                <w:rFonts w:cs="Arial"/>
                <w:szCs w:val="24"/>
                <w:lang w:val="en-US" w:eastAsia="en-GB"/>
              </w:rPr>
            </w:pPr>
            <w:r>
              <w:rPr>
                <w:rFonts w:cs="Arial"/>
                <w:szCs w:val="24"/>
                <w:lang w:val="en-US" w:eastAsia="en-GB"/>
              </w:rPr>
              <w:lastRenderedPageBreak/>
              <w:t>Amber</w:t>
            </w:r>
          </w:p>
        </w:tc>
      </w:tr>
      <w:tr w:rsidR="00FC1A88" w14:paraId="3EA7AFAD" w14:textId="77777777" w:rsidTr="009F676C">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BD766" w14:textId="50ECB3F3" w:rsidR="00FC1A88" w:rsidRPr="000913A5" w:rsidRDefault="00FC1A88" w:rsidP="00606FAA">
            <w:pPr>
              <w:spacing w:line="247" w:lineRule="auto"/>
              <w:ind w:right="141"/>
              <w:rPr>
                <w:rFonts w:cs="Arial"/>
                <w:szCs w:val="24"/>
                <w:lang w:eastAsia="en-GB"/>
              </w:rPr>
            </w:pPr>
            <w:r>
              <w:t>New contractors bid at prices that are not sustainable</w:t>
            </w:r>
            <w:r w:rsidR="009D505A" w:rsidRPr="00583F50">
              <w:rPr>
                <w:color w:val="FF0000"/>
              </w:rPr>
              <w:t xml:space="preserve"> </w:t>
            </w:r>
            <w:r w:rsidR="009D505A" w:rsidRPr="00B44BBC">
              <w:t>throughout life of the contract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D9872" w14:textId="77777777" w:rsidR="00FC1A88" w:rsidRDefault="00E85613" w:rsidP="00E11EBC">
            <w:pPr>
              <w:pStyle w:val="ListParagraph"/>
              <w:numPr>
                <w:ilvl w:val="0"/>
                <w:numId w:val="10"/>
              </w:numPr>
              <w:spacing w:after="160" w:line="252" w:lineRule="auto"/>
              <w:contextualSpacing/>
              <w:rPr>
                <w:szCs w:val="24"/>
              </w:rPr>
            </w:pPr>
            <w:r w:rsidRPr="00E11EBC">
              <w:rPr>
                <w:szCs w:val="24"/>
              </w:rPr>
              <w:t xml:space="preserve">Monthly review of </w:t>
            </w:r>
            <w:r w:rsidR="000F0DD5" w:rsidRPr="00E11EBC">
              <w:rPr>
                <w:szCs w:val="24"/>
              </w:rPr>
              <w:t xml:space="preserve">invoices, contract prices against agree schedule of works, quality </w:t>
            </w:r>
            <w:r w:rsidR="00E11EBC" w:rsidRPr="00E11EBC">
              <w:rPr>
                <w:szCs w:val="24"/>
              </w:rPr>
              <w:t>assessment</w:t>
            </w:r>
            <w:r w:rsidR="00E11EBC">
              <w:rPr>
                <w:szCs w:val="24"/>
              </w:rPr>
              <w:t>s</w:t>
            </w:r>
          </w:p>
          <w:p w14:paraId="102342B1" w14:textId="48C925BD" w:rsidR="00E11EBC" w:rsidRPr="00E11EBC" w:rsidRDefault="00E11EBC" w:rsidP="00E11EBC">
            <w:pPr>
              <w:pStyle w:val="ListParagraph"/>
              <w:numPr>
                <w:ilvl w:val="0"/>
                <w:numId w:val="10"/>
              </w:numPr>
              <w:spacing w:after="160" w:line="252" w:lineRule="auto"/>
              <w:contextualSpacing/>
              <w:rPr>
                <w:szCs w:val="24"/>
              </w:rPr>
            </w:pPr>
            <w:r>
              <w:rPr>
                <w:szCs w:val="24"/>
              </w:rPr>
              <w:t xml:space="preserve">Back-up </w:t>
            </w:r>
            <w:r w:rsidR="00766DF8">
              <w:rPr>
                <w:szCs w:val="24"/>
              </w:rPr>
              <w:t xml:space="preserve">Fusion 21 appointed </w:t>
            </w:r>
            <w:r>
              <w:rPr>
                <w:szCs w:val="24"/>
              </w:rPr>
              <w:t xml:space="preserve">contractors </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33C24396" w14:textId="63D71F4C" w:rsidR="00FC1A88" w:rsidRDefault="00DE2AA0" w:rsidP="00606FAA">
            <w:pPr>
              <w:spacing w:line="247" w:lineRule="auto"/>
              <w:ind w:left="171" w:right="141"/>
              <w:rPr>
                <w:rFonts w:cs="Arial"/>
                <w:szCs w:val="24"/>
                <w:lang w:val="en-US" w:eastAsia="en-GB"/>
              </w:rPr>
            </w:pPr>
            <w:r>
              <w:rPr>
                <w:rFonts w:cs="Arial"/>
                <w:szCs w:val="24"/>
                <w:lang w:val="en-US" w:eastAsia="en-GB"/>
              </w:rPr>
              <w:t>Amber</w:t>
            </w:r>
          </w:p>
        </w:tc>
      </w:tr>
      <w:tr w:rsidR="00E51B24" w14:paraId="41A8A4E8" w14:textId="77777777" w:rsidTr="0051183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420B0" w14:textId="36E53ABC" w:rsidR="00E51B24" w:rsidRPr="000913A5" w:rsidRDefault="003D634D" w:rsidP="00606FAA">
            <w:pPr>
              <w:spacing w:line="247" w:lineRule="auto"/>
              <w:ind w:right="141"/>
              <w:rPr>
                <w:rFonts w:cs="Arial"/>
                <w:szCs w:val="24"/>
                <w:lang w:eastAsia="en-GB"/>
              </w:rPr>
            </w:pPr>
            <w:r>
              <w:rPr>
                <w:rFonts w:cs="Arial"/>
                <w:szCs w:val="24"/>
                <w:lang w:eastAsia="en-GB"/>
              </w:rPr>
              <w:t>Service interruption during transition period to implement new gas contracts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CC466" w14:textId="21217881" w:rsidR="00E51B24" w:rsidRDefault="00392456" w:rsidP="00606FAA">
            <w:pPr>
              <w:pStyle w:val="ListParagraph"/>
              <w:numPr>
                <w:ilvl w:val="0"/>
                <w:numId w:val="10"/>
              </w:numPr>
              <w:spacing w:after="160" w:line="252" w:lineRule="auto"/>
              <w:ind w:left="307"/>
              <w:contextualSpacing/>
              <w:rPr>
                <w:szCs w:val="24"/>
              </w:rPr>
            </w:pPr>
            <w:r>
              <w:rPr>
                <w:szCs w:val="24"/>
              </w:rPr>
              <w:t>Advance planning to implement</w:t>
            </w:r>
            <w:r w:rsidR="00290CBE">
              <w:rPr>
                <w:szCs w:val="24"/>
              </w:rPr>
              <w:t xml:space="preserve"> a </w:t>
            </w:r>
            <w:r>
              <w:rPr>
                <w:szCs w:val="24"/>
              </w:rPr>
              <w:t xml:space="preserve"> mobilisation plan</w:t>
            </w:r>
            <w:r w:rsidR="002562B0">
              <w:rPr>
                <w:szCs w:val="24"/>
              </w:rPr>
              <w:t xml:space="preserve"> to ensure service continuity </w:t>
            </w:r>
            <w:r w:rsidR="001A685B">
              <w:rPr>
                <w:szCs w:val="24"/>
              </w:rPr>
              <w:t>and contracts implementation</w:t>
            </w:r>
          </w:p>
          <w:p w14:paraId="2BFCE69D" w14:textId="77777777" w:rsidR="00392456" w:rsidRDefault="00392456" w:rsidP="00606FAA">
            <w:pPr>
              <w:pStyle w:val="ListParagraph"/>
              <w:numPr>
                <w:ilvl w:val="0"/>
                <w:numId w:val="10"/>
              </w:numPr>
              <w:spacing w:after="160" w:line="252" w:lineRule="auto"/>
              <w:ind w:left="307"/>
              <w:contextualSpacing/>
              <w:rPr>
                <w:szCs w:val="24"/>
              </w:rPr>
            </w:pPr>
            <w:r>
              <w:rPr>
                <w:szCs w:val="24"/>
              </w:rPr>
              <w:t>Support from Fusion21 consultants</w:t>
            </w:r>
          </w:p>
          <w:p w14:paraId="6B8D1253" w14:textId="70FE929F" w:rsidR="00392456" w:rsidRDefault="00392456" w:rsidP="00606FAA">
            <w:pPr>
              <w:pStyle w:val="ListParagraph"/>
              <w:numPr>
                <w:ilvl w:val="0"/>
                <w:numId w:val="10"/>
              </w:numPr>
              <w:spacing w:after="160" w:line="252" w:lineRule="auto"/>
              <w:ind w:left="307"/>
              <w:contextualSpacing/>
              <w:rPr>
                <w:szCs w:val="24"/>
              </w:rPr>
            </w:pPr>
            <w:r>
              <w:rPr>
                <w:szCs w:val="24"/>
              </w:rPr>
              <w:t>Engagement of a</w:t>
            </w:r>
            <w:r w:rsidR="00D16D26">
              <w:rPr>
                <w:szCs w:val="24"/>
              </w:rPr>
              <w:t xml:space="preserve">n interim project manager </w:t>
            </w:r>
            <w:r w:rsidR="002562B0">
              <w:rPr>
                <w:szCs w:val="24"/>
              </w:rPr>
              <w:t xml:space="preserve">to </w:t>
            </w:r>
            <w:r w:rsidR="000B4840">
              <w:rPr>
                <w:szCs w:val="24"/>
              </w:rPr>
              <w:t>manager both</w:t>
            </w:r>
            <w:r w:rsidR="001A685B">
              <w:rPr>
                <w:szCs w:val="24"/>
              </w:rPr>
              <w:t xml:space="preserve"> strategic</w:t>
            </w:r>
            <w:r w:rsidR="0019395F">
              <w:rPr>
                <w:szCs w:val="24"/>
              </w:rPr>
              <w:t xml:space="preserve">ally </w:t>
            </w:r>
            <w:r w:rsidR="001A685B">
              <w:rPr>
                <w:szCs w:val="24"/>
              </w:rPr>
              <w:t>and operation</w:t>
            </w:r>
            <w:r w:rsidR="00795D73">
              <w:rPr>
                <w:szCs w:val="24"/>
              </w:rPr>
              <w:t>al</w:t>
            </w:r>
            <w:r w:rsidR="0019395F">
              <w:rPr>
                <w:szCs w:val="24"/>
              </w:rPr>
              <w:t>ly</w:t>
            </w:r>
          </w:p>
          <w:p w14:paraId="4AB6C2A0" w14:textId="0518FC80" w:rsidR="00795D73" w:rsidRPr="000913A5" w:rsidRDefault="00795D73" w:rsidP="00606FAA">
            <w:pPr>
              <w:pStyle w:val="ListParagraph"/>
              <w:numPr>
                <w:ilvl w:val="0"/>
                <w:numId w:val="10"/>
              </w:numPr>
              <w:spacing w:after="160" w:line="252" w:lineRule="auto"/>
              <w:ind w:left="307"/>
              <w:contextualSpacing/>
              <w:rPr>
                <w:szCs w:val="24"/>
              </w:rPr>
            </w:pPr>
            <w:r>
              <w:rPr>
                <w:szCs w:val="24"/>
              </w:rPr>
              <w:t>Promote positive communications with</w:t>
            </w:r>
            <w:r w:rsidR="00FC4AE0">
              <w:rPr>
                <w:szCs w:val="24"/>
              </w:rPr>
              <w:t xml:space="preserve"> residents, officers and ward councillors</w:t>
            </w:r>
            <w:r w:rsidR="00290CBE">
              <w:rPr>
                <w:szCs w:val="24"/>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605540ED" w14:textId="43879679" w:rsidR="00E51B24" w:rsidRDefault="00DE2AA0" w:rsidP="00606FAA">
            <w:pPr>
              <w:spacing w:line="247" w:lineRule="auto"/>
              <w:ind w:left="171" w:right="141"/>
              <w:rPr>
                <w:rFonts w:cs="Arial"/>
                <w:szCs w:val="24"/>
                <w:lang w:val="en-US" w:eastAsia="en-GB"/>
              </w:rPr>
            </w:pPr>
            <w:r>
              <w:rPr>
                <w:rFonts w:cs="Arial"/>
                <w:szCs w:val="24"/>
                <w:lang w:val="en-US" w:eastAsia="en-GB"/>
              </w:rPr>
              <w:t>Amber</w:t>
            </w:r>
          </w:p>
        </w:tc>
      </w:tr>
      <w:tr w:rsidR="0008631C" w14:paraId="748E0DE6" w14:textId="77777777" w:rsidTr="0051183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1F91D" w14:textId="77777777" w:rsidR="0008631C" w:rsidRDefault="0096171E" w:rsidP="00606FAA">
            <w:pPr>
              <w:spacing w:line="247" w:lineRule="auto"/>
              <w:ind w:right="141"/>
              <w:rPr>
                <w:rFonts w:cs="Arial"/>
                <w:szCs w:val="24"/>
                <w:lang w:eastAsia="en-GB"/>
              </w:rPr>
            </w:pPr>
            <w:r>
              <w:rPr>
                <w:rFonts w:cs="Arial"/>
                <w:szCs w:val="24"/>
                <w:lang w:eastAsia="en-GB"/>
              </w:rPr>
              <w:t xml:space="preserve">IT Solutions to ensure data is managed real-time between </w:t>
            </w:r>
            <w:r w:rsidR="007717CE">
              <w:rPr>
                <w:rFonts w:cs="Arial"/>
                <w:szCs w:val="24"/>
                <w:lang w:eastAsia="en-GB"/>
              </w:rPr>
              <w:t>contractors and Council systems</w:t>
            </w:r>
            <w:r w:rsidR="00647ADB">
              <w:rPr>
                <w:rFonts w:cs="Arial"/>
                <w:szCs w:val="24"/>
                <w:lang w:eastAsia="en-GB"/>
              </w:rPr>
              <w:t xml:space="preserve"> </w:t>
            </w:r>
            <w:r w:rsidR="00647ADB" w:rsidRPr="00B44BBC">
              <w:rPr>
                <w:rFonts w:cs="Arial"/>
                <w:szCs w:val="24"/>
                <w:lang w:eastAsia="en-GB"/>
              </w:rPr>
              <w:t>are inadequate</w:t>
            </w:r>
          </w:p>
          <w:p w14:paraId="67C51EF5" w14:textId="77777777" w:rsidR="00122E37" w:rsidRDefault="00122E37" w:rsidP="00606FAA">
            <w:pPr>
              <w:spacing w:line="247" w:lineRule="auto"/>
              <w:ind w:right="141"/>
              <w:rPr>
                <w:rFonts w:cs="Arial"/>
                <w:szCs w:val="24"/>
                <w:lang w:eastAsia="en-GB"/>
              </w:rPr>
            </w:pPr>
          </w:p>
          <w:p w14:paraId="3D1C8FC0" w14:textId="77777777" w:rsidR="00122E37" w:rsidRDefault="00122E37" w:rsidP="00606FAA">
            <w:pPr>
              <w:spacing w:line="247" w:lineRule="auto"/>
              <w:ind w:right="141"/>
              <w:rPr>
                <w:rFonts w:cs="Arial"/>
                <w:szCs w:val="24"/>
                <w:lang w:eastAsia="en-GB"/>
              </w:rPr>
            </w:pPr>
          </w:p>
          <w:p w14:paraId="6762ED78" w14:textId="77777777" w:rsidR="00122E37" w:rsidRDefault="00122E37" w:rsidP="00606FAA">
            <w:pPr>
              <w:spacing w:line="247" w:lineRule="auto"/>
              <w:ind w:right="141"/>
              <w:rPr>
                <w:rFonts w:cs="Arial"/>
                <w:szCs w:val="24"/>
                <w:lang w:eastAsia="en-GB"/>
              </w:rPr>
            </w:pPr>
          </w:p>
          <w:p w14:paraId="11ED05FD" w14:textId="77777777" w:rsidR="00122E37" w:rsidRDefault="00122E37" w:rsidP="00606FAA">
            <w:pPr>
              <w:spacing w:line="247" w:lineRule="auto"/>
              <w:ind w:right="141"/>
              <w:rPr>
                <w:rFonts w:cs="Arial"/>
                <w:szCs w:val="24"/>
                <w:lang w:eastAsia="en-GB"/>
              </w:rPr>
            </w:pPr>
          </w:p>
          <w:p w14:paraId="4E5F520E" w14:textId="77777777" w:rsidR="00122E37" w:rsidRDefault="00122E37" w:rsidP="00606FAA">
            <w:pPr>
              <w:spacing w:line="247" w:lineRule="auto"/>
              <w:ind w:right="141"/>
              <w:rPr>
                <w:rFonts w:cs="Arial"/>
                <w:szCs w:val="24"/>
                <w:lang w:eastAsia="en-GB"/>
              </w:rPr>
            </w:pPr>
          </w:p>
          <w:p w14:paraId="3CB24FDE" w14:textId="77777777" w:rsidR="00122E37" w:rsidRDefault="00122E37" w:rsidP="00606FAA">
            <w:pPr>
              <w:spacing w:line="247" w:lineRule="auto"/>
              <w:ind w:right="141"/>
              <w:rPr>
                <w:rFonts w:cs="Arial"/>
                <w:szCs w:val="24"/>
                <w:lang w:eastAsia="en-GB"/>
              </w:rPr>
            </w:pPr>
          </w:p>
          <w:p w14:paraId="0EE9EE21" w14:textId="77777777" w:rsidR="00122E37" w:rsidRDefault="00122E37" w:rsidP="00606FAA">
            <w:pPr>
              <w:spacing w:line="247" w:lineRule="auto"/>
              <w:ind w:right="141"/>
              <w:rPr>
                <w:rFonts w:cs="Arial"/>
                <w:szCs w:val="24"/>
                <w:lang w:eastAsia="en-GB"/>
              </w:rPr>
            </w:pPr>
          </w:p>
          <w:p w14:paraId="0F136B9E" w14:textId="77777777" w:rsidR="00122E37" w:rsidRDefault="00122E37" w:rsidP="00606FAA">
            <w:pPr>
              <w:spacing w:line="247" w:lineRule="auto"/>
              <w:ind w:right="141"/>
              <w:rPr>
                <w:rFonts w:cs="Arial"/>
                <w:szCs w:val="24"/>
                <w:lang w:eastAsia="en-GB"/>
              </w:rPr>
            </w:pPr>
          </w:p>
          <w:p w14:paraId="5E172F3A" w14:textId="77777777" w:rsidR="00122E37" w:rsidRDefault="00122E37" w:rsidP="00606FAA">
            <w:pPr>
              <w:spacing w:line="247" w:lineRule="auto"/>
              <w:ind w:right="141"/>
              <w:rPr>
                <w:rFonts w:cs="Arial"/>
                <w:szCs w:val="24"/>
                <w:lang w:eastAsia="en-GB"/>
              </w:rPr>
            </w:pPr>
          </w:p>
          <w:p w14:paraId="36F21C73" w14:textId="77777777" w:rsidR="00122E37" w:rsidRDefault="00122E37" w:rsidP="00606FAA">
            <w:pPr>
              <w:spacing w:line="247" w:lineRule="auto"/>
              <w:ind w:right="141"/>
              <w:rPr>
                <w:rFonts w:cs="Arial"/>
                <w:szCs w:val="24"/>
                <w:lang w:eastAsia="en-GB"/>
              </w:rPr>
            </w:pPr>
          </w:p>
          <w:p w14:paraId="3333593A" w14:textId="77777777" w:rsidR="00122E37" w:rsidRDefault="00122E37" w:rsidP="00606FAA">
            <w:pPr>
              <w:spacing w:line="247" w:lineRule="auto"/>
              <w:ind w:right="141"/>
              <w:rPr>
                <w:rFonts w:cs="Arial"/>
                <w:szCs w:val="24"/>
                <w:lang w:eastAsia="en-GB"/>
              </w:rPr>
            </w:pPr>
          </w:p>
          <w:p w14:paraId="255CE3A6" w14:textId="77777777" w:rsidR="00122E37" w:rsidRDefault="00122E37" w:rsidP="00606FAA">
            <w:pPr>
              <w:spacing w:line="247" w:lineRule="auto"/>
              <w:ind w:right="141"/>
              <w:rPr>
                <w:rFonts w:cs="Arial"/>
                <w:szCs w:val="24"/>
                <w:lang w:eastAsia="en-GB"/>
              </w:rPr>
            </w:pPr>
          </w:p>
          <w:p w14:paraId="7D348CEC" w14:textId="53F2D186" w:rsidR="00122E37" w:rsidRDefault="00122E37" w:rsidP="00606FAA">
            <w:pPr>
              <w:spacing w:line="247" w:lineRule="auto"/>
              <w:ind w:right="141"/>
              <w:rPr>
                <w:rFonts w:cs="Arial"/>
                <w:szCs w:val="24"/>
                <w:lang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560A6" w14:textId="3C60353E" w:rsidR="0008631C" w:rsidRDefault="00B2125D" w:rsidP="00606FAA">
            <w:pPr>
              <w:pStyle w:val="ListParagraph"/>
              <w:numPr>
                <w:ilvl w:val="0"/>
                <w:numId w:val="10"/>
              </w:numPr>
              <w:spacing w:after="160" w:line="252" w:lineRule="auto"/>
              <w:ind w:left="307"/>
              <w:contextualSpacing/>
              <w:rPr>
                <w:szCs w:val="24"/>
              </w:rPr>
            </w:pPr>
            <w:r>
              <w:rPr>
                <w:szCs w:val="24"/>
              </w:rPr>
              <w:t xml:space="preserve">Cloud based applications support smooth transition of data between a </w:t>
            </w:r>
            <w:r w:rsidR="007717CE">
              <w:rPr>
                <w:szCs w:val="24"/>
              </w:rPr>
              <w:t>variety</w:t>
            </w:r>
            <w:r w:rsidR="0096171E">
              <w:rPr>
                <w:szCs w:val="24"/>
              </w:rPr>
              <w:t xml:space="preserve"> of software systems</w:t>
            </w:r>
          </w:p>
          <w:p w14:paraId="51E763DD" w14:textId="1A1C6FDF" w:rsidR="00444EC9" w:rsidRDefault="00444EC9" w:rsidP="00606FAA">
            <w:pPr>
              <w:pStyle w:val="ListParagraph"/>
              <w:numPr>
                <w:ilvl w:val="0"/>
                <w:numId w:val="10"/>
              </w:numPr>
              <w:spacing w:after="160" w:line="252" w:lineRule="auto"/>
              <w:ind w:left="307"/>
              <w:contextualSpacing/>
              <w:rPr>
                <w:szCs w:val="24"/>
              </w:rPr>
            </w:pPr>
            <w:r>
              <w:rPr>
                <w:szCs w:val="24"/>
              </w:rPr>
              <w:t xml:space="preserve">Migration to Civca CX </w:t>
            </w:r>
            <w:r w:rsidR="00E031CF">
              <w:rPr>
                <w:szCs w:val="24"/>
              </w:rPr>
              <w:t xml:space="preserve">by March 2022 </w:t>
            </w:r>
          </w:p>
          <w:p w14:paraId="4FFC766F" w14:textId="387D4FA1" w:rsidR="00E031CF" w:rsidRDefault="00E031CF" w:rsidP="00606FAA">
            <w:pPr>
              <w:pStyle w:val="ListParagraph"/>
              <w:numPr>
                <w:ilvl w:val="0"/>
                <w:numId w:val="10"/>
              </w:numPr>
              <w:spacing w:after="160" w:line="252" w:lineRule="auto"/>
              <w:ind w:left="307"/>
              <w:contextualSpacing/>
              <w:rPr>
                <w:szCs w:val="24"/>
              </w:rPr>
            </w:pPr>
            <w:r>
              <w:rPr>
                <w:szCs w:val="24"/>
              </w:rPr>
              <w:t xml:space="preserve">Contract </w:t>
            </w:r>
            <w:r w:rsidR="005464DC">
              <w:rPr>
                <w:szCs w:val="24"/>
              </w:rPr>
              <w:t xml:space="preserve">regulatory </w:t>
            </w:r>
            <w:r>
              <w:rPr>
                <w:szCs w:val="24"/>
              </w:rPr>
              <w:t xml:space="preserve">compliance </w:t>
            </w:r>
            <w:r w:rsidR="005464DC">
              <w:rPr>
                <w:szCs w:val="24"/>
              </w:rPr>
              <w:t>via C365 compliance database</w:t>
            </w:r>
          </w:p>
          <w:p w14:paraId="6D424533" w14:textId="5D3CF6A3" w:rsidR="007717CE" w:rsidRDefault="005464DC" w:rsidP="00606FAA">
            <w:pPr>
              <w:pStyle w:val="ListParagraph"/>
              <w:numPr>
                <w:ilvl w:val="0"/>
                <w:numId w:val="10"/>
              </w:numPr>
              <w:spacing w:after="160" w:line="252" w:lineRule="auto"/>
              <w:ind w:left="307"/>
              <w:contextualSpacing/>
              <w:rPr>
                <w:szCs w:val="24"/>
              </w:rPr>
            </w:pPr>
            <w:r>
              <w:rPr>
                <w:szCs w:val="24"/>
              </w:rPr>
              <w:t xml:space="preserve">IT detailed in </w:t>
            </w:r>
            <w:r w:rsidR="007717CE">
              <w:rPr>
                <w:szCs w:val="24"/>
              </w:rPr>
              <w:t xml:space="preserve"> advance at mobilisation planning</w:t>
            </w:r>
            <w:r>
              <w:rPr>
                <w:szCs w:val="24"/>
              </w:rPr>
              <w:t xml:space="preserve"> stage</w:t>
            </w:r>
            <w:r w:rsidR="00037882">
              <w:rPr>
                <w:szCs w:val="24"/>
              </w:rPr>
              <w:t xml:space="preserve"> and forms a key essential project item</w:t>
            </w:r>
            <w:r w:rsidR="007717CE">
              <w:rPr>
                <w:szCs w:val="24"/>
              </w:rPr>
              <w:t xml:space="preserve"> </w:t>
            </w:r>
          </w:p>
          <w:p w14:paraId="7B077BC3" w14:textId="77777777" w:rsidR="007717CE" w:rsidRDefault="007717CE" w:rsidP="00606FAA">
            <w:pPr>
              <w:pStyle w:val="ListParagraph"/>
              <w:numPr>
                <w:ilvl w:val="0"/>
                <w:numId w:val="10"/>
              </w:numPr>
              <w:spacing w:after="160" w:line="252" w:lineRule="auto"/>
              <w:ind w:left="307"/>
              <w:contextualSpacing/>
              <w:rPr>
                <w:szCs w:val="24"/>
              </w:rPr>
            </w:pPr>
            <w:r>
              <w:rPr>
                <w:szCs w:val="24"/>
              </w:rPr>
              <w:t>Test data r</w:t>
            </w:r>
            <w:r w:rsidR="00925E67">
              <w:rPr>
                <w:szCs w:val="24"/>
              </w:rPr>
              <w:t>un and issues resolved</w:t>
            </w:r>
          </w:p>
          <w:p w14:paraId="640F257B" w14:textId="15C2E8F5" w:rsidR="00122E37" w:rsidRDefault="00122E37" w:rsidP="00606FAA">
            <w:pPr>
              <w:pStyle w:val="ListParagraph"/>
              <w:numPr>
                <w:ilvl w:val="0"/>
                <w:numId w:val="10"/>
              </w:numPr>
              <w:spacing w:after="160" w:line="252" w:lineRule="auto"/>
              <w:ind w:left="307"/>
              <w:contextualSpacing/>
              <w:rPr>
                <w:szCs w:val="24"/>
              </w:rPr>
            </w:pPr>
            <w:r>
              <w:rPr>
                <w:szCs w:val="24"/>
              </w:rPr>
              <w:t>Investment in new IT</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341DC151" w14:textId="08D60757" w:rsidR="0008631C" w:rsidRDefault="00DE2AA0" w:rsidP="00606FAA">
            <w:pPr>
              <w:spacing w:line="247" w:lineRule="auto"/>
              <w:ind w:left="171" w:right="141"/>
              <w:rPr>
                <w:rFonts w:cs="Arial"/>
                <w:szCs w:val="24"/>
                <w:lang w:val="en-US" w:eastAsia="en-GB"/>
              </w:rPr>
            </w:pPr>
            <w:r>
              <w:rPr>
                <w:rFonts w:cs="Arial"/>
                <w:szCs w:val="24"/>
                <w:lang w:val="en-US" w:eastAsia="en-GB"/>
              </w:rPr>
              <w:t>Amber</w:t>
            </w:r>
          </w:p>
        </w:tc>
      </w:tr>
      <w:tr w:rsidR="0005012C" w14:paraId="3732CC88" w14:textId="77777777" w:rsidTr="000913A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D5A1E" w14:textId="42DDC1E5" w:rsidR="0005012C" w:rsidRDefault="00037882" w:rsidP="00606FAA">
            <w:pPr>
              <w:spacing w:line="247" w:lineRule="auto"/>
              <w:ind w:right="141"/>
              <w:rPr>
                <w:rFonts w:cs="Arial"/>
                <w:szCs w:val="24"/>
                <w:lang w:eastAsia="en-GB"/>
              </w:rPr>
            </w:pPr>
            <w:r>
              <w:t>Client-side</w:t>
            </w:r>
            <w:r w:rsidR="0005012C">
              <w:t xml:space="preserve"> structure does not have sufficient skills to </w:t>
            </w:r>
            <w:r w:rsidR="0005012C">
              <w:lastRenderedPageBreak/>
              <w:t>manage the contract(s) put in place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6E6EC" w14:textId="18FA226D" w:rsidR="0005012C" w:rsidRDefault="00273281" w:rsidP="00606FAA">
            <w:pPr>
              <w:pStyle w:val="ListParagraph"/>
              <w:numPr>
                <w:ilvl w:val="0"/>
                <w:numId w:val="10"/>
              </w:numPr>
              <w:spacing w:after="160" w:line="252" w:lineRule="auto"/>
              <w:ind w:left="307"/>
              <w:contextualSpacing/>
              <w:rPr>
                <w:szCs w:val="24"/>
              </w:rPr>
            </w:pPr>
            <w:r>
              <w:rPr>
                <w:szCs w:val="24"/>
              </w:rPr>
              <w:lastRenderedPageBreak/>
              <w:t xml:space="preserve">Yearly service reviews to ensure service fully </w:t>
            </w:r>
            <w:r>
              <w:rPr>
                <w:szCs w:val="24"/>
              </w:rPr>
              <w:lastRenderedPageBreak/>
              <w:t>resourced and staff fully trained</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6BB5C426" w14:textId="6B88F4DA" w:rsidR="0005012C" w:rsidRDefault="00DE2AA0" w:rsidP="00606FAA">
            <w:pPr>
              <w:spacing w:line="247" w:lineRule="auto"/>
              <w:ind w:left="171" w:right="141"/>
              <w:rPr>
                <w:rFonts w:cs="Arial"/>
                <w:szCs w:val="24"/>
                <w:lang w:val="en-US" w:eastAsia="en-GB"/>
              </w:rPr>
            </w:pPr>
            <w:r>
              <w:rPr>
                <w:rFonts w:cs="Arial"/>
                <w:szCs w:val="24"/>
                <w:lang w:val="en-US" w:eastAsia="en-GB"/>
              </w:rPr>
              <w:lastRenderedPageBreak/>
              <w:t>Green</w:t>
            </w:r>
          </w:p>
        </w:tc>
      </w:tr>
      <w:tr w:rsidR="00506856" w14:paraId="58B5FC14" w14:textId="77777777" w:rsidTr="000913A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A29EE" w14:textId="589461F5" w:rsidR="00506856" w:rsidRDefault="00506856" w:rsidP="00606FAA">
            <w:pPr>
              <w:spacing w:line="247" w:lineRule="auto"/>
              <w:ind w:right="141"/>
            </w:pPr>
            <w:r w:rsidRPr="00B44BBC">
              <w:t>Non-compliance with CPR and/or Public Contract Regulations 2015</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2AC74" w14:textId="77777777" w:rsidR="00C4290B" w:rsidRPr="00B44BBC" w:rsidRDefault="00C4290B" w:rsidP="00C4290B">
            <w:pPr>
              <w:pStyle w:val="ListParagraph"/>
              <w:numPr>
                <w:ilvl w:val="0"/>
                <w:numId w:val="10"/>
              </w:numPr>
              <w:spacing w:after="160" w:line="252" w:lineRule="auto"/>
              <w:ind w:left="307"/>
              <w:contextualSpacing/>
              <w:rPr>
                <w:szCs w:val="24"/>
              </w:rPr>
            </w:pPr>
            <w:r w:rsidRPr="00B44BBC">
              <w:rPr>
                <w:szCs w:val="24"/>
              </w:rPr>
              <w:t>The procurement of the domestic and communal heating service has been conducted consistent with the Public Contract Regulations 2015</w:t>
            </w:r>
          </w:p>
          <w:p w14:paraId="01DEEB3C" w14:textId="77777777" w:rsidR="00C4290B" w:rsidRPr="00B44BBC" w:rsidRDefault="00C4290B" w:rsidP="00C4290B">
            <w:pPr>
              <w:pStyle w:val="ListParagraph"/>
              <w:numPr>
                <w:ilvl w:val="0"/>
                <w:numId w:val="10"/>
              </w:numPr>
              <w:spacing w:after="160" w:line="252" w:lineRule="auto"/>
              <w:ind w:left="307"/>
              <w:contextualSpacing/>
              <w:rPr>
                <w:szCs w:val="24"/>
              </w:rPr>
            </w:pPr>
            <w:r w:rsidRPr="00B44BBC">
              <w:rPr>
                <w:szCs w:val="24"/>
              </w:rPr>
              <w:t>Cabinet approved the budget and the commencement of a procurement process in July 2020 for domestic heating budget and procurement exercise</w:t>
            </w:r>
          </w:p>
          <w:p w14:paraId="11E7634F" w14:textId="5FF31178" w:rsidR="00506856" w:rsidRDefault="00C4290B" w:rsidP="00C4290B">
            <w:pPr>
              <w:pStyle w:val="ListParagraph"/>
              <w:numPr>
                <w:ilvl w:val="0"/>
                <w:numId w:val="10"/>
              </w:numPr>
              <w:spacing w:after="160" w:line="252" w:lineRule="auto"/>
              <w:ind w:left="307"/>
              <w:contextualSpacing/>
              <w:rPr>
                <w:szCs w:val="24"/>
              </w:rPr>
            </w:pPr>
            <w:r w:rsidRPr="00B44BBC">
              <w:rPr>
                <w:szCs w:val="24"/>
              </w:rPr>
              <w:t>Retrospective approval sought via this report for budget and procurement process for communal heating contract</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74D98AFD" w14:textId="2715E2FC" w:rsidR="00506856" w:rsidRDefault="00DE2AA0" w:rsidP="00606FAA">
            <w:pPr>
              <w:spacing w:line="247" w:lineRule="auto"/>
              <w:ind w:left="171" w:right="141"/>
              <w:rPr>
                <w:rFonts w:cs="Arial"/>
                <w:szCs w:val="24"/>
                <w:lang w:val="en-US" w:eastAsia="en-GB"/>
              </w:rPr>
            </w:pPr>
            <w:r>
              <w:rPr>
                <w:rFonts w:cs="Arial"/>
                <w:szCs w:val="24"/>
                <w:lang w:val="en-US" w:eastAsia="en-GB"/>
              </w:rPr>
              <w:t>Green</w:t>
            </w:r>
          </w:p>
        </w:tc>
      </w:tr>
      <w:tr w:rsidR="005906B8" w14:paraId="3068EF44" w14:textId="77777777" w:rsidTr="000913A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F072A" w14:textId="66DA2D63" w:rsidR="005906B8" w:rsidRDefault="00447CDC" w:rsidP="00606FAA">
            <w:pPr>
              <w:spacing w:line="247" w:lineRule="auto"/>
              <w:ind w:right="141"/>
            </w:pPr>
            <w:r w:rsidRPr="00B44BBC">
              <w:t>Shortfall in budget to cover the cost of the proposed contracts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8DF9F" w14:textId="77777777" w:rsidR="00FC2DA7" w:rsidRPr="00B44BBC" w:rsidRDefault="00FC2DA7" w:rsidP="00FC2DA7">
            <w:pPr>
              <w:pStyle w:val="ListParagraph"/>
              <w:numPr>
                <w:ilvl w:val="0"/>
                <w:numId w:val="10"/>
              </w:numPr>
              <w:spacing w:after="160" w:line="252" w:lineRule="auto"/>
              <w:ind w:left="307"/>
              <w:contextualSpacing/>
              <w:rPr>
                <w:szCs w:val="24"/>
              </w:rPr>
            </w:pPr>
            <w:r w:rsidRPr="00B44BBC">
              <w:rPr>
                <w:szCs w:val="24"/>
              </w:rPr>
              <w:t>Shortfall of £75,012 to be off set against savings from moving to ground heat pumps and other technology (table in 4.5)</w:t>
            </w:r>
          </w:p>
          <w:p w14:paraId="7537B7CB" w14:textId="77777777" w:rsidR="00FC2DA7" w:rsidRPr="00B44BBC" w:rsidRDefault="00FC2DA7" w:rsidP="00FC2DA7">
            <w:pPr>
              <w:pStyle w:val="ListParagraph"/>
              <w:numPr>
                <w:ilvl w:val="0"/>
                <w:numId w:val="10"/>
              </w:numPr>
              <w:spacing w:after="160" w:line="252" w:lineRule="auto"/>
              <w:ind w:left="307"/>
              <w:contextualSpacing/>
              <w:rPr>
                <w:szCs w:val="24"/>
              </w:rPr>
            </w:pPr>
            <w:r w:rsidRPr="00B44BBC">
              <w:rPr>
                <w:szCs w:val="24"/>
              </w:rPr>
              <w:t>Remaining £26k shortfall will be contained within the budget provision by either prioritising expenditure or reducing activity and for future years</w:t>
            </w:r>
          </w:p>
          <w:p w14:paraId="61328516" w14:textId="6651685A" w:rsidR="005906B8" w:rsidRDefault="00FC2DA7" w:rsidP="00FC2DA7">
            <w:pPr>
              <w:pStyle w:val="ListParagraph"/>
              <w:numPr>
                <w:ilvl w:val="0"/>
                <w:numId w:val="10"/>
              </w:numPr>
              <w:spacing w:after="160" w:line="252" w:lineRule="auto"/>
              <w:ind w:left="307"/>
              <w:contextualSpacing/>
              <w:rPr>
                <w:szCs w:val="24"/>
              </w:rPr>
            </w:pPr>
            <w:r>
              <w:rPr>
                <w:szCs w:val="24"/>
              </w:rPr>
              <w:t xml:space="preserve">A formal monitoring process will be adopted </w:t>
            </w:r>
            <w:r w:rsidR="007B73E8">
              <w:rPr>
                <w:szCs w:val="24"/>
              </w:rPr>
              <w:t>to ensure budgets maintained</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6A288AFD" w14:textId="3621338F" w:rsidR="005906B8" w:rsidRDefault="00DE2AA0" w:rsidP="00606FAA">
            <w:pPr>
              <w:spacing w:line="247" w:lineRule="auto"/>
              <w:ind w:left="171" w:right="141"/>
              <w:rPr>
                <w:rFonts w:cs="Arial"/>
                <w:szCs w:val="24"/>
                <w:lang w:val="en-US" w:eastAsia="en-GB"/>
              </w:rPr>
            </w:pPr>
            <w:r>
              <w:rPr>
                <w:rFonts w:cs="Arial"/>
                <w:szCs w:val="24"/>
                <w:lang w:val="en-US" w:eastAsia="en-GB"/>
              </w:rPr>
              <w:t>Green</w:t>
            </w:r>
          </w:p>
        </w:tc>
      </w:tr>
    </w:tbl>
    <w:bookmarkEnd w:id="3"/>
    <w:bookmarkEnd w:id="4"/>
    <w:p w14:paraId="0249BBDB" w14:textId="623B4C01" w:rsidR="002A3FEF" w:rsidRDefault="005E1C0A" w:rsidP="00A1211C">
      <w:pPr>
        <w:pStyle w:val="Heading3"/>
        <w:spacing w:before="480" w:after="240"/>
      </w:pPr>
      <w:r w:rsidRPr="009E1D68">
        <w:t>12</w:t>
      </w:r>
      <w:r w:rsidR="0059630E" w:rsidRPr="009E1D68">
        <w:t>.</w:t>
      </w:r>
      <w:r w:rsidR="0059630E" w:rsidRPr="009E1D68">
        <w:tab/>
      </w:r>
      <w:r w:rsidR="002A3FEF" w:rsidRPr="009E1D68">
        <w:t>Procurement Implications</w:t>
      </w:r>
    </w:p>
    <w:p w14:paraId="6632E192" w14:textId="68448CFF" w:rsidR="005D4631" w:rsidRDefault="008C4227" w:rsidP="00055008">
      <w:pPr>
        <w:ind w:left="709" w:hanging="709"/>
        <w:jc w:val="both"/>
      </w:pPr>
      <w:r>
        <w:t>12.1</w:t>
      </w:r>
      <w:r w:rsidR="002A378B">
        <w:t xml:space="preserve">   </w:t>
      </w:r>
      <w:r w:rsidR="005D4631">
        <w:t>The procurement of the domestic and communal heating service has been conducted consistent with the Public Contract Regulations 2015 (as amended) and under the support and guidance of the procurement team. To that end the recommendations to award contracts as the start of this report are supported by the Head of Procurement.</w:t>
      </w:r>
    </w:p>
    <w:p w14:paraId="49049DDE" w14:textId="77777777" w:rsidR="005D4631" w:rsidRDefault="005D4631" w:rsidP="005D4631">
      <w:pPr>
        <w:jc w:val="both"/>
      </w:pPr>
    </w:p>
    <w:p w14:paraId="512922D7" w14:textId="26B47DCD" w:rsidR="005D4631" w:rsidRDefault="002A378B" w:rsidP="00055008">
      <w:pPr>
        <w:ind w:left="709" w:hanging="709"/>
        <w:jc w:val="both"/>
      </w:pPr>
      <w:r>
        <w:t>12.2</w:t>
      </w:r>
      <w:r>
        <w:tab/>
      </w:r>
      <w:r w:rsidR="005D4631">
        <w:t xml:space="preserve">Both services were procured through the Fusion 21 framework where separate mini competitions were undertaken for each of the </w:t>
      </w:r>
      <w:r w:rsidR="00BC542D">
        <w:t>services</w:t>
      </w:r>
      <w:r w:rsidR="005D4631">
        <w:t xml:space="preserve">. </w:t>
      </w:r>
      <w:r w:rsidR="005D4631">
        <w:lastRenderedPageBreak/>
        <w:t xml:space="preserve">The outcome of the respective procurements is detailed in </w:t>
      </w:r>
      <w:r>
        <w:t>A</w:t>
      </w:r>
      <w:r w:rsidR="005D4631">
        <w:t>ppendix 1</w:t>
      </w:r>
      <w:r w:rsidR="00FB717B">
        <w:t xml:space="preserve"> and 2</w:t>
      </w:r>
    </w:p>
    <w:p w14:paraId="322A801A" w14:textId="77777777" w:rsidR="005D4631" w:rsidRDefault="005D4631" w:rsidP="005D4631">
      <w:pPr>
        <w:jc w:val="both"/>
      </w:pPr>
    </w:p>
    <w:p w14:paraId="238131CD" w14:textId="5FC13A29" w:rsidR="005D4631" w:rsidRDefault="00FB717B" w:rsidP="00055008">
      <w:pPr>
        <w:ind w:left="709" w:hanging="709"/>
        <w:jc w:val="both"/>
      </w:pPr>
      <w:r>
        <w:t>12.3</w:t>
      </w:r>
      <w:r>
        <w:tab/>
      </w:r>
      <w:r w:rsidR="005D4631">
        <w:t xml:space="preserve">Cabinet approved the budget and the commencement of a procurement process in July 2020. However, this approval was just for the domestic heating budget and procurement exercise. </w:t>
      </w:r>
    </w:p>
    <w:p w14:paraId="2E603C79" w14:textId="77777777" w:rsidR="005D4631" w:rsidRDefault="005D4631" w:rsidP="005D4631">
      <w:pPr>
        <w:jc w:val="both"/>
      </w:pPr>
    </w:p>
    <w:p w14:paraId="3CFCADDF" w14:textId="742173F4" w:rsidR="005D4631" w:rsidRDefault="00FB717B" w:rsidP="00055008">
      <w:pPr>
        <w:ind w:left="709" w:hanging="709"/>
        <w:jc w:val="both"/>
      </w:pPr>
      <w:r>
        <w:t>12.4</w:t>
      </w:r>
      <w:r>
        <w:tab/>
      </w:r>
      <w:r w:rsidR="005D4631">
        <w:t xml:space="preserve">We wish </w:t>
      </w:r>
      <w:r w:rsidR="00852DA0">
        <w:t>C</w:t>
      </w:r>
      <w:r w:rsidR="005D4631">
        <w:t xml:space="preserve">abinet to note that due to an oversight by the directorate the approval required under the Contract Procedure Rules for the budget and the approval required to commence the procurement for the communal heating part of this report was not sought, as it should have been, prior to going to procurement. We therefore request </w:t>
      </w:r>
      <w:r w:rsidR="00852DA0">
        <w:t>C</w:t>
      </w:r>
      <w:r w:rsidR="005D4631">
        <w:t xml:space="preserve">abinet </w:t>
      </w:r>
      <w:r w:rsidR="00852DA0">
        <w:t xml:space="preserve">to </w:t>
      </w:r>
      <w:r w:rsidR="005D4631">
        <w:t>note and give retrospective approval for these oversights.</w:t>
      </w:r>
    </w:p>
    <w:p w14:paraId="44A71B87" w14:textId="77777777" w:rsidR="005D4631" w:rsidRDefault="005D4631" w:rsidP="005D4631">
      <w:pPr>
        <w:jc w:val="both"/>
      </w:pPr>
    </w:p>
    <w:p w14:paraId="59D7E9E0" w14:textId="1C80FBF3" w:rsidR="005D4631" w:rsidRDefault="00FB717B" w:rsidP="00055008">
      <w:pPr>
        <w:ind w:left="709" w:hanging="709"/>
        <w:jc w:val="both"/>
      </w:pPr>
      <w:r>
        <w:t>12.5</w:t>
      </w:r>
      <w:r>
        <w:tab/>
      </w:r>
      <w:r w:rsidR="005D4631">
        <w:t>Lessons will be learnt by the directorate from this oversight to ensure similar breaches to the Contract Procedure Rules to do not happen in the future.</w:t>
      </w:r>
    </w:p>
    <w:p w14:paraId="4B341C6D" w14:textId="77777777" w:rsidR="005D4631" w:rsidRDefault="005D4631" w:rsidP="005D4631">
      <w:pPr>
        <w:jc w:val="both"/>
      </w:pPr>
    </w:p>
    <w:p w14:paraId="29336A93" w14:textId="4AD17420" w:rsidR="005D4631" w:rsidRPr="002C5800" w:rsidRDefault="00FB717B" w:rsidP="00DE2AA0">
      <w:pPr>
        <w:pStyle w:val="BodyText3"/>
        <w:ind w:left="709" w:hanging="709"/>
        <w:jc w:val="both"/>
        <w:rPr>
          <w:rFonts w:cs="Arial"/>
          <w:sz w:val="24"/>
          <w:szCs w:val="24"/>
        </w:rPr>
      </w:pPr>
      <w:r>
        <w:rPr>
          <w:sz w:val="24"/>
          <w:szCs w:val="20"/>
        </w:rPr>
        <w:t>12.6</w:t>
      </w:r>
      <w:r>
        <w:rPr>
          <w:sz w:val="24"/>
          <w:szCs w:val="20"/>
        </w:rPr>
        <w:tab/>
      </w:r>
      <w:r w:rsidR="005D4631" w:rsidRPr="00357D87">
        <w:rPr>
          <w:sz w:val="24"/>
          <w:szCs w:val="20"/>
        </w:rPr>
        <w:t>However, procurement would like to reiterate that no breaches in procurement law have taken place</w:t>
      </w:r>
      <w:r w:rsidR="005D4631">
        <w:rPr>
          <w:sz w:val="24"/>
          <w:szCs w:val="20"/>
        </w:rPr>
        <w:t xml:space="preserve"> and this tender has complied with and is </w:t>
      </w:r>
      <w:r w:rsidR="005D4631" w:rsidRPr="00357D87">
        <w:rPr>
          <w:sz w:val="24"/>
          <w:szCs w:val="20"/>
        </w:rPr>
        <w:t>consistence</w:t>
      </w:r>
      <w:r w:rsidR="005D4631" w:rsidRPr="002C5800">
        <w:rPr>
          <w:sz w:val="24"/>
          <w:szCs w:val="24"/>
        </w:rPr>
        <w:t xml:space="preserve"> with the principles of transparency, equality of treatment, fairness and non-discrimination.</w:t>
      </w:r>
      <w:r w:rsidR="005D4631" w:rsidRPr="002C5800">
        <w:rPr>
          <w:rFonts w:cs="Arial"/>
          <w:sz w:val="24"/>
          <w:szCs w:val="24"/>
        </w:rPr>
        <w:t xml:space="preserve"> </w:t>
      </w:r>
    </w:p>
    <w:p w14:paraId="1ADDF9C2" w14:textId="4EB0C6BB" w:rsidR="007B2E97" w:rsidRDefault="000112E3" w:rsidP="005D4631">
      <w:pPr>
        <w:ind w:left="720" w:hanging="720"/>
        <w:jc w:val="both"/>
      </w:pPr>
      <w:r w:rsidRPr="00B44BBC">
        <w:rPr>
          <w:b/>
          <w:bCs/>
          <w:sz w:val="28"/>
          <w:szCs w:val="28"/>
        </w:rPr>
        <w:t>1</w:t>
      </w:r>
      <w:r w:rsidR="005E1C0A" w:rsidRPr="00B44BBC">
        <w:rPr>
          <w:b/>
          <w:bCs/>
          <w:sz w:val="28"/>
          <w:szCs w:val="28"/>
        </w:rPr>
        <w:t>3</w:t>
      </w:r>
      <w:r w:rsidR="0059630E" w:rsidRPr="00B44BBC">
        <w:rPr>
          <w:b/>
          <w:bCs/>
          <w:sz w:val="28"/>
          <w:szCs w:val="28"/>
        </w:rPr>
        <w:t>.</w:t>
      </w:r>
      <w:r w:rsidR="0059630E" w:rsidRPr="009E1D68">
        <w:tab/>
      </w:r>
      <w:r w:rsidR="00333FAA" w:rsidRPr="009222CA">
        <w:rPr>
          <w:b/>
          <w:bCs/>
          <w:sz w:val="28"/>
          <w:szCs w:val="22"/>
        </w:rPr>
        <w:t>Legal Implications</w:t>
      </w:r>
    </w:p>
    <w:p w14:paraId="7B5FF46F" w14:textId="77777777" w:rsidR="00FB717B" w:rsidRDefault="00FB717B" w:rsidP="005D4631">
      <w:pPr>
        <w:ind w:left="720" w:hanging="720"/>
        <w:jc w:val="both"/>
        <w:rPr>
          <w:b/>
          <w:bCs/>
        </w:rPr>
      </w:pPr>
    </w:p>
    <w:p w14:paraId="0D6408D2" w14:textId="4EB30AB7" w:rsidR="00925700" w:rsidRDefault="008C4227" w:rsidP="00055008">
      <w:pPr>
        <w:ind w:left="720" w:hanging="720"/>
      </w:pPr>
      <w:r>
        <w:t>13.1</w:t>
      </w:r>
      <w:r>
        <w:tab/>
      </w:r>
      <w:r w:rsidR="00925700">
        <w:t xml:space="preserve">The procurement of the Housing Domestic Gas and Communal contracts have been undertaken in accordance with the Public Contract Regulations 2015 (PCR). The contracts have been called off from the Fusion 21 Framework compliantly by way of a </w:t>
      </w:r>
      <w:r w:rsidR="001918E3">
        <w:t>mini competition</w:t>
      </w:r>
      <w:r w:rsidR="00925700">
        <w:t xml:space="preserve"> for both contracts.</w:t>
      </w:r>
    </w:p>
    <w:p w14:paraId="05D6AD22" w14:textId="4E26C7A3" w:rsidR="00CA591C" w:rsidRPr="00BF650A" w:rsidRDefault="0059630E" w:rsidP="00DE2AA0">
      <w:pPr>
        <w:pStyle w:val="Heading3"/>
        <w:spacing w:before="480" w:after="240"/>
      </w:pPr>
      <w:r w:rsidRPr="00356772">
        <w:t>1</w:t>
      </w:r>
      <w:r w:rsidR="005E1C0A" w:rsidRPr="00356772">
        <w:t>4</w:t>
      </w:r>
      <w:r w:rsidRPr="00356772">
        <w:t>.</w:t>
      </w:r>
      <w:r w:rsidRPr="00356772">
        <w:tab/>
      </w:r>
      <w:r w:rsidR="00333FAA" w:rsidRPr="00356772">
        <w:t>Financial Implications</w:t>
      </w:r>
      <w:r w:rsidR="009849D2">
        <w:t xml:space="preserve"> </w:t>
      </w:r>
    </w:p>
    <w:p w14:paraId="64AA5C4C" w14:textId="7C687393" w:rsidR="00852DA0" w:rsidRDefault="003B0123" w:rsidP="003B0123">
      <w:pPr>
        <w:autoSpaceDE w:val="0"/>
        <w:autoSpaceDN w:val="0"/>
        <w:adjustRightInd w:val="0"/>
        <w:ind w:left="720" w:hanging="720"/>
        <w:jc w:val="both"/>
      </w:pPr>
      <w:r>
        <w:t>14.1</w:t>
      </w:r>
      <w:r>
        <w:tab/>
      </w:r>
      <w:r w:rsidR="009849D2" w:rsidRPr="004873F4">
        <w:t>The total</w:t>
      </w:r>
      <w:r w:rsidR="00CF78D8">
        <w:t xml:space="preserve"> annual</w:t>
      </w:r>
      <w:r w:rsidR="009849D2" w:rsidRPr="004873F4">
        <w:t xml:space="preserve"> value of the contracts to be </w:t>
      </w:r>
      <w:r w:rsidR="001A4479" w:rsidRPr="004873F4">
        <w:t>awarded amount</w:t>
      </w:r>
      <w:r w:rsidR="009849D2" w:rsidRPr="004873F4">
        <w:t xml:space="preserve"> to </w:t>
      </w:r>
      <w:r w:rsidR="00CF78D8">
        <w:t xml:space="preserve">an estimated </w:t>
      </w:r>
      <w:r w:rsidR="009849D2" w:rsidRPr="004873F4">
        <w:t>£</w:t>
      </w:r>
      <w:r w:rsidR="0076485E" w:rsidRPr="004873F4">
        <w:t>878,</w:t>
      </w:r>
      <w:r w:rsidR="00F5456A" w:rsidRPr="004873F4">
        <w:t xml:space="preserve">400 </w:t>
      </w:r>
      <w:r w:rsidR="0076485E" w:rsidRPr="004873F4">
        <w:t>p.a.</w:t>
      </w:r>
      <w:r w:rsidR="009849D2" w:rsidRPr="004873F4">
        <w:t xml:space="preserve">– Liberty </w:t>
      </w:r>
      <w:r w:rsidR="007B2E2A" w:rsidRPr="004873F4">
        <w:t xml:space="preserve">£729,622 </w:t>
      </w:r>
      <w:r w:rsidR="009849D2" w:rsidRPr="004873F4">
        <w:t>- domestic heating (servicing and R</w:t>
      </w:r>
      <w:r w:rsidR="00946297">
        <w:t>epairs and Maintenance</w:t>
      </w:r>
      <w:r w:rsidR="009849D2" w:rsidRPr="004873F4">
        <w:t xml:space="preserve"> + £14</w:t>
      </w:r>
      <w:r w:rsidR="00701417" w:rsidRPr="004873F4">
        <w:t>8</w:t>
      </w:r>
      <w:r w:rsidR="009849D2" w:rsidRPr="004873F4">
        <w:t>,</w:t>
      </w:r>
      <w:r w:rsidR="00701417" w:rsidRPr="004873F4">
        <w:t>7</w:t>
      </w:r>
      <w:r w:rsidR="00607905" w:rsidRPr="004873F4">
        <w:t>7</w:t>
      </w:r>
      <w:r w:rsidR="00701417" w:rsidRPr="004873F4">
        <w:t>8</w:t>
      </w:r>
      <w:r w:rsidR="009849D2" w:rsidRPr="004873F4">
        <w:t xml:space="preserve"> – Thermoserve -  (commercial  gas systems). This </w:t>
      </w:r>
      <w:r>
        <w:t xml:space="preserve">  </w:t>
      </w:r>
      <w:r w:rsidR="009849D2" w:rsidRPr="004873F4">
        <w:t>compares to a budget provision of £</w:t>
      </w:r>
      <w:r w:rsidR="0065400C" w:rsidRPr="004873F4">
        <w:t>780,000</w:t>
      </w:r>
      <w:r w:rsidR="009849D2" w:rsidRPr="004873F4">
        <w:t xml:space="preserve"> in 2021/22 - split between revenue and capital as shown below:-</w:t>
      </w:r>
      <w:r w:rsidR="009849D2">
        <w:t xml:space="preserve"> </w:t>
      </w:r>
    </w:p>
    <w:p w14:paraId="1691E1DB" w14:textId="77777777" w:rsidR="00852DA0" w:rsidRDefault="00852DA0" w:rsidP="003B0123">
      <w:pPr>
        <w:autoSpaceDE w:val="0"/>
        <w:autoSpaceDN w:val="0"/>
        <w:adjustRightInd w:val="0"/>
        <w:ind w:left="720" w:hanging="720"/>
        <w:jc w:val="both"/>
      </w:pPr>
    </w:p>
    <w:tbl>
      <w:tblPr>
        <w:tblStyle w:val="TableGrid"/>
        <w:tblW w:w="9215" w:type="dxa"/>
        <w:tblInd w:w="-431" w:type="dxa"/>
        <w:tblLook w:val="04A0" w:firstRow="1" w:lastRow="0" w:firstColumn="1" w:lastColumn="0" w:noHBand="0" w:noVBand="1"/>
      </w:tblPr>
      <w:tblGrid>
        <w:gridCol w:w="2953"/>
        <w:gridCol w:w="1502"/>
        <w:gridCol w:w="1502"/>
        <w:gridCol w:w="1631"/>
        <w:gridCol w:w="1627"/>
      </w:tblGrid>
      <w:tr w:rsidR="001B33D4" w14:paraId="22F973F0" w14:textId="77777777" w:rsidTr="001B33D4">
        <w:tc>
          <w:tcPr>
            <w:tcW w:w="2953" w:type="dxa"/>
          </w:tcPr>
          <w:p w14:paraId="70745E21" w14:textId="77777777" w:rsidR="001B33D4" w:rsidRDefault="001B33D4" w:rsidP="009849D2">
            <w:pPr>
              <w:pStyle w:val="BodyText3"/>
              <w:spacing w:line="276" w:lineRule="auto"/>
              <w:jc w:val="both"/>
              <w:rPr>
                <w:sz w:val="24"/>
                <w:szCs w:val="20"/>
              </w:rPr>
            </w:pPr>
            <w:bookmarkStart w:id="5" w:name="_Hlk86150528"/>
          </w:p>
        </w:tc>
        <w:tc>
          <w:tcPr>
            <w:tcW w:w="1502" w:type="dxa"/>
          </w:tcPr>
          <w:p w14:paraId="3B4C1498" w14:textId="77777777" w:rsidR="001B33D4" w:rsidRDefault="001B33D4" w:rsidP="009849D2">
            <w:pPr>
              <w:pStyle w:val="BodyText3"/>
              <w:spacing w:line="276" w:lineRule="auto"/>
              <w:jc w:val="both"/>
              <w:rPr>
                <w:sz w:val="24"/>
                <w:szCs w:val="20"/>
              </w:rPr>
            </w:pPr>
          </w:p>
        </w:tc>
        <w:tc>
          <w:tcPr>
            <w:tcW w:w="4760" w:type="dxa"/>
            <w:gridSpan w:val="3"/>
          </w:tcPr>
          <w:p w14:paraId="7DEA5CDD" w14:textId="2101876E" w:rsidR="001B33D4" w:rsidRDefault="001B33D4" w:rsidP="001B33D4">
            <w:pPr>
              <w:pStyle w:val="BodyText3"/>
              <w:spacing w:line="276" w:lineRule="auto"/>
              <w:jc w:val="center"/>
              <w:rPr>
                <w:sz w:val="24"/>
                <w:szCs w:val="20"/>
              </w:rPr>
            </w:pPr>
            <w:r>
              <w:rPr>
                <w:sz w:val="24"/>
                <w:szCs w:val="20"/>
              </w:rPr>
              <w:t>Tender Award</w:t>
            </w:r>
          </w:p>
        </w:tc>
      </w:tr>
      <w:tr w:rsidR="0055713A" w14:paraId="1B87A7A6" w14:textId="77777777" w:rsidTr="001B33D4">
        <w:tc>
          <w:tcPr>
            <w:tcW w:w="2953" w:type="dxa"/>
          </w:tcPr>
          <w:p w14:paraId="46577F91" w14:textId="77777777" w:rsidR="0055713A" w:rsidRDefault="0055713A" w:rsidP="0055713A">
            <w:pPr>
              <w:pStyle w:val="BodyText3"/>
              <w:spacing w:line="276" w:lineRule="auto"/>
              <w:jc w:val="both"/>
              <w:rPr>
                <w:sz w:val="24"/>
                <w:szCs w:val="20"/>
              </w:rPr>
            </w:pPr>
          </w:p>
        </w:tc>
        <w:tc>
          <w:tcPr>
            <w:tcW w:w="1502" w:type="dxa"/>
          </w:tcPr>
          <w:p w14:paraId="25C5C1B5" w14:textId="27843D8E" w:rsidR="0055713A" w:rsidRPr="00385F49" w:rsidRDefault="00385F49" w:rsidP="0055713A">
            <w:pPr>
              <w:pStyle w:val="BodyText3"/>
              <w:spacing w:line="276" w:lineRule="auto"/>
              <w:jc w:val="center"/>
              <w:rPr>
                <w:sz w:val="24"/>
                <w:szCs w:val="24"/>
              </w:rPr>
            </w:pPr>
            <w:r w:rsidRPr="00385F49">
              <w:rPr>
                <w:sz w:val="24"/>
                <w:szCs w:val="24"/>
              </w:rPr>
              <w:t>Budget 2021/22</w:t>
            </w:r>
          </w:p>
        </w:tc>
        <w:tc>
          <w:tcPr>
            <w:tcW w:w="1502" w:type="dxa"/>
          </w:tcPr>
          <w:p w14:paraId="2EA5030A" w14:textId="676A2217" w:rsidR="0055713A" w:rsidRPr="00385F49" w:rsidRDefault="00385F49" w:rsidP="0055713A">
            <w:pPr>
              <w:pStyle w:val="BodyText3"/>
              <w:spacing w:line="276" w:lineRule="auto"/>
              <w:jc w:val="center"/>
              <w:rPr>
                <w:sz w:val="24"/>
                <w:szCs w:val="24"/>
              </w:rPr>
            </w:pPr>
            <w:r w:rsidRPr="00385F49">
              <w:rPr>
                <w:sz w:val="24"/>
                <w:szCs w:val="24"/>
              </w:rPr>
              <w:t xml:space="preserve">Liberty </w:t>
            </w:r>
          </w:p>
        </w:tc>
        <w:tc>
          <w:tcPr>
            <w:tcW w:w="1631" w:type="dxa"/>
          </w:tcPr>
          <w:p w14:paraId="0B7258A6" w14:textId="097937BB" w:rsidR="0055713A" w:rsidRPr="00385F49" w:rsidRDefault="00385F49" w:rsidP="0055713A">
            <w:pPr>
              <w:pStyle w:val="BodyText3"/>
              <w:spacing w:line="276" w:lineRule="auto"/>
              <w:jc w:val="center"/>
              <w:rPr>
                <w:sz w:val="24"/>
                <w:szCs w:val="24"/>
              </w:rPr>
            </w:pPr>
            <w:r w:rsidRPr="00385F49">
              <w:rPr>
                <w:sz w:val="24"/>
                <w:szCs w:val="24"/>
              </w:rPr>
              <w:t>Thermoserve</w:t>
            </w:r>
          </w:p>
        </w:tc>
        <w:tc>
          <w:tcPr>
            <w:tcW w:w="1627" w:type="dxa"/>
          </w:tcPr>
          <w:p w14:paraId="3CBF8CC1" w14:textId="2D04DD58" w:rsidR="0055713A" w:rsidRPr="00385F49" w:rsidRDefault="00385F49" w:rsidP="0055713A">
            <w:pPr>
              <w:pStyle w:val="BodyText3"/>
              <w:spacing w:line="276" w:lineRule="auto"/>
              <w:jc w:val="center"/>
              <w:rPr>
                <w:sz w:val="24"/>
                <w:szCs w:val="24"/>
              </w:rPr>
            </w:pPr>
            <w:r w:rsidRPr="00385F49">
              <w:rPr>
                <w:sz w:val="24"/>
                <w:szCs w:val="24"/>
              </w:rPr>
              <w:t xml:space="preserve">Total </w:t>
            </w:r>
          </w:p>
        </w:tc>
      </w:tr>
      <w:tr w:rsidR="0055713A" w14:paraId="3F0EB5C6" w14:textId="77777777" w:rsidTr="001B33D4">
        <w:tc>
          <w:tcPr>
            <w:tcW w:w="2953" w:type="dxa"/>
          </w:tcPr>
          <w:p w14:paraId="56E17628" w14:textId="77777777" w:rsidR="0055713A" w:rsidRDefault="0055713A" w:rsidP="0055713A">
            <w:pPr>
              <w:pStyle w:val="BodyText3"/>
              <w:spacing w:line="276" w:lineRule="auto"/>
              <w:jc w:val="both"/>
              <w:rPr>
                <w:sz w:val="24"/>
                <w:szCs w:val="20"/>
              </w:rPr>
            </w:pPr>
          </w:p>
        </w:tc>
        <w:tc>
          <w:tcPr>
            <w:tcW w:w="1502" w:type="dxa"/>
          </w:tcPr>
          <w:p w14:paraId="227ED0AC" w14:textId="37155724" w:rsidR="0055713A" w:rsidRPr="0055713A" w:rsidRDefault="0055713A" w:rsidP="0055713A">
            <w:pPr>
              <w:pStyle w:val="BodyText3"/>
              <w:spacing w:line="276" w:lineRule="auto"/>
              <w:jc w:val="center"/>
            </w:pPr>
            <w:r w:rsidRPr="0055713A">
              <w:t>£</w:t>
            </w:r>
          </w:p>
        </w:tc>
        <w:tc>
          <w:tcPr>
            <w:tcW w:w="1502" w:type="dxa"/>
          </w:tcPr>
          <w:p w14:paraId="76181ECA" w14:textId="57E07BFD" w:rsidR="0055713A" w:rsidRDefault="0055713A" w:rsidP="0055713A">
            <w:pPr>
              <w:pStyle w:val="BodyText3"/>
              <w:spacing w:line="276" w:lineRule="auto"/>
              <w:jc w:val="center"/>
              <w:rPr>
                <w:sz w:val="24"/>
                <w:szCs w:val="20"/>
              </w:rPr>
            </w:pPr>
            <w:r w:rsidRPr="00D62E52">
              <w:t>£</w:t>
            </w:r>
          </w:p>
        </w:tc>
        <w:tc>
          <w:tcPr>
            <w:tcW w:w="1631" w:type="dxa"/>
          </w:tcPr>
          <w:p w14:paraId="16621017" w14:textId="5A017E83" w:rsidR="0055713A" w:rsidRDefault="0055713A" w:rsidP="0055713A">
            <w:pPr>
              <w:pStyle w:val="BodyText3"/>
              <w:spacing w:line="276" w:lineRule="auto"/>
              <w:jc w:val="center"/>
              <w:rPr>
                <w:sz w:val="24"/>
                <w:szCs w:val="20"/>
              </w:rPr>
            </w:pPr>
            <w:r w:rsidRPr="00D62E52">
              <w:t>£</w:t>
            </w:r>
          </w:p>
        </w:tc>
        <w:tc>
          <w:tcPr>
            <w:tcW w:w="1627" w:type="dxa"/>
          </w:tcPr>
          <w:p w14:paraId="4B0FFAA0" w14:textId="065F4D1F" w:rsidR="0055713A" w:rsidRDefault="0055713A" w:rsidP="0055713A">
            <w:pPr>
              <w:pStyle w:val="BodyText3"/>
              <w:spacing w:line="276" w:lineRule="auto"/>
              <w:jc w:val="center"/>
              <w:rPr>
                <w:sz w:val="24"/>
                <w:szCs w:val="20"/>
              </w:rPr>
            </w:pPr>
            <w:r w:rsidRPr="00D62E52">
              <w:t>£</w:t>
            </w:r>
          </w:p>
        </w:tc>
      </w:tr>
      <w:tr w:rsidR="00385F49" w14:paraId="3A874DF5" w14:textId="77777777" w:rsidTr="001B33D4">
        <w:tc>
          <w:tcPr>
            <w:tcW w:w="2953" w:type="dxa"/>
          </w:tcPr>
          <w:p w14:paraId="32604B1E" w14:textId="5859A0A5" w:rsidR="00385F49" w:rsidRDefault="00385F49" w:rsidP="00385F49">
            <w:pPr>
              <w:pStyle w:val="BodyText3"/>
              <w:spacing w:line="276" w:lineRule="auto"/>
              <w:jc w:val="both"/>
              <w:rPr>
                <w:sz w:val="24"/>
                <w:szCs w:val="20"/>
              </w:rPr>
            </w:pPr>
            <w:r>
              <w:rPr>
                <w:sz w:val="24"/>
                <w:szCs w:val="20"/>
              </w:rPr>
              <w:t>Servicing -  Domestic</w:t>
            </w:r>
          </w:p>
        </w:tc>
        <w:tc>
          <w:tcPr>
            <w:tcW w:w="1502" w:type="dxa"/>
          </w:tcPr>
          <w:p w14:paraId="332E7DBD" w14:textId="0151A2A3" w:rsidR="00385F49" w:rsidRPr="0055713A" w:rsidRDefault="00385F49" w:rsidP="00385F49">
            <w:pPr>
              <w:pStyle w:val="BodyText3"/>
              <w:spacing w:line="276" w:lineRule="auto"/>
              <w:jc w:val="right"/>
              <w:rPr>
                <w:sz w:val="24"/>
                <w:szCs w:val="24"/>
              </w:rPr>
            </w:pPr>
            <w:r w:rsidRPr="0055713A">
              <w:rPr>
                <w:sz w:val="24"/>
                <w:szCs w:val="24"/>
              </w:rPr>
              <w:t xml:space="preserve"> 423,000 </w:t>
            </w:r>
          </w:p>
        </w:tc>
        <w:tc>
          <w:tcPr>
            <w:tcW w:w="1502" w:type="dxa"/>
          </w:tcPr>
          <w:p w14:paraId="199A8C36" w14:textId="058CCD91" w:rsidR="00385F49" w:rsidRPr="00385F49" w:rsidRDefault="00385F49" w:rsidP="00385F49">
            <w:pPr>
              <w:pStyle w:val="BodyText3"/>
              <w:spacing w:line="276" w:lineRule="auto"/>
              <w:jc w:val="right"/>
              <w:rPr>
                <w:sz w:val="24"/>
                <w:szCs w:val="24"/>
              </w:rPr>
            </w:pPr>
            <w:r w:rsidRPr="00385F49">
              <w:rPr>
                <w:sz w:val="24"/>
                <w:szCs w:val="24"/>
              </w:rPr>
              <w:t xml:space="preserve"> 462,398 </w:t>
            </w:r>
          </w:p>
        </w:tc>
        <w:tc>
          <w:tcPr>
            <w:tcW w:w="1631" w:type="dxa"/>
          </w:tcPr>
          <w:p w14:paraId="5901B135" w14:textId="05B6E3A2" w:rsidR="00385F49" w:rsidRPr="00385F49" w:rsidRDefault="00385F49" w:rsidP="00385F49">
            <w:pPr>
              <w:pStyle w:val="BodyText3"/>
              <w:spacing w:line="276" w:lineRule="auto"/>
              <w:jc w:val="right"/>
              <w:rPr>
                <w:sz w:val="24"/>
                <w:szCs w:val="24"/>
              </w:rPr>
            </w:pPr>
            <w:r w:rsidRPr="00385F49">
              <w:rPr>
                <w:sz w:val="24"/>
                <w:szCs w:val="24"/>
              </w:rPr>
              <w:t xml:space="preserve"> -   </w:t>
            </w:r>
          </w:p>
        </w:tc>
        <w:tc>
          <w:tcPr>
            <w:tcW w:w="1627" w:type="dxa"/>
          </w:tcPr>
          <w:p w14:paraId="30F823EF" w14:textId="54477AEB" w:rsidR="00385F49" w:rsidRPr="00385F49" w:rsidRDefault="00385F49" w:rsidP="00385F49">
            <w:pPr>
              <w:pStyle w:val="BodyText3"/>
              <w:spacing w:line="276" w:lineRule="auto"/>
              <w:jc w:val="right"/>
              <w:rPr>
                <w:sz w:val="24"/>
                <w:szCs w:val="24"/>
              </w:rPr>
            </w:pPr>
            <w:r w:rsidRPr="00385F49">
              <w:rPr>
                <w:sz w:val="24"/>
                <w:szCs w:val="24"/>
              </w:rPr>
              <w:t xml:space="preserve"> 462,398 </w:t>
            </w:r>
          </w:p>
        </w:tc>
      </w:tr>
      <w:tr w:rsidR="00385F49" w14:paraId="2BFEE9A2" w14:textId="77777777" w:rsidTr="001B33D4">
        <w:tc>
          <w:tcPr>
            <w:tcW w:w="2953" w:type="dxa"/>
          </w:tcPr>
          <w:p w14:paraId="73C68A71" w14:textId="5E53BFEE" w:rsidR="00385F49" w:rsidRDefault="00385F49" w:rsidP="00385F49">
            <w:pPr>
              <w:pStyle w:val="BodyText3"/>
              <w:spacing w:line="276" w:lineRule="auto"/>
              <w:ind w:left="998"/>
              <w:jc w:val="both"/>
              <w:rPr>
                <w:sz w:val="24"/>
                <w:szCs w:val="20"/>
              </w:rPr>
            </w:pPr>
            <w:r>
              <w:rPr>
                <w:sz w:val="24"/>
                <w:szCs w:val="20"/>
              </w:rPr>
              <w:t xml:space="preserve">  Commercial</w:t>
            </w:r>
          </w:p>
        </w:tc>
        <w:tc>
          <w:tcPr>
            <w:tcW w:w="1502" w:type="dxa"/>
          </w:tcPr>
          <w:p w14:paraId="22B9F41C" w14:textId="33D8E590" w:rsidR="00385F49" w:rsidRPr="0055713A" w:rsidRDefault="00385F49" w:rsidP="00385F49">
            <w:pPr>
              <w:pStyle w:val="BodyText3"/>
              <w:spacing w:line="276" w:lineRule="auto"/>
              <w:jc w:val="right"/>
              <w:rPr>
                <w:sz w:val="24"/>
                <w:szCs w:val="24"/>
              </w:rPr>
            </w:pPr>
            <w:r w:rsidRPr="0055713A">
              <w:rPr>
                <w:sz w:val="24"/>
                <w:szCs w:val="24"/>
              </w:rPr>
              <w:t xml:space="preserve"> 35,000 </w:t>
            </w:r>
          </w:p>
        </w:tc>
        <w:tc>
          <w:tcPr>
            <w:tcW w:w="1502" w:type="dxa"/>
          </w:tcPr>
          <w:p w14:paraId="52D68EBE" w14:textId="554364A2" w:rsidR="00385F49" w:rsidRPr="00385F49" w:rsidRDefault="00385F49" w:rsidP="00385F49">
            <w:pPr>
              <w:pStyle w:val="BodyText3"/>
              <w:spacing w:line="276" w:lineRule="auto"/>
              <w:jc w:val="right"/>
              <w:rPr>
                <w:sz w:val="24"/>
                <w:szCs w:val="24"/>
              </w:rPr>
            </w:pPr>
            <w:r w:rsidRPr="00385F49">
              <w:rPr>
                <w:sz w:val="24"/>
                <w:szCs w:val="24"/>
              </w:rPr>
              <w:t xml:space="preserve"> -   </w:t>
            </w:r>
          </w:p>
        </w:tc>
        <w:tc>
          <w:tcPr>
            <w:tcW w:w="1631" w:type="dxa"/>
          </w:tcPr>
          <w:p w14:paraId="0C2EEE30" w14:textId="15787DD6" w:rsidR="00385F49" w:rsidRPr="00385F49" w:rsidRDefault="00385F49" w:rsidP="00385F49">
            <w:pPr>
              <w:pStyle w:val="BodyText3"/>
              <w:spacing w:line="276" w:lineRule="auto"/>
              <w:jc w:val="right"/>
              <w:rPr>
                <w:sz w:val="24"/>
                <w:szCs w:val="24"/>
              </w:rPr>
            </w:pPr>
            <w:r w:rsidRPr="00385F49">
              <w:rPr>
                <w:sz w:val="24"/>
                <w:szCs w:val="24"/>
              </w:rPr>
              <w:t xml:space="preserve"> 11,312 </w:t>
            </w:r>
          </w:p>
        </w:tc>
        <w:tc>
          <w:tcPr>
            <w:tcW w:w="1627" w:type="dxa"/>
          </w:tcPr>
          <w:p w14:paraId="7F744EC5" w14:textId="4A802C32" w:rsidR="00385F49" w:rsidRPr="00385F49" w:rsidRDefault="00385F49" w:rsidP="00385F49">
            <w:pPr>
              <w:pStyle w:val="BodyText3"/>
              <w:spacing w:line="276" w:lineRule="auto"/>
              <w:jc w:val="right"/>
              <w:rPr>
                <w:sz w:val="24"/>
                <w:szCs w:val="24"/>
              </w:rPr>
            </w:pPr>
            <w:r w:rsidRPr="00385F49">
              <w:rPr>
                <w:sz w:val="24"/>
                <w:szCs w:val="24"/>
              </w:rPr>
              <w:t xml:space="preserve"> 11,312 </w:t>
            </w:r>
          </w:p>
        </w:tc>
      </w:tr>
      <w:tr w:rsidR="00385F49" w14:paraId="2C370B77" w14:textId="77777777" w:rsidTr="001B33D4">
        <w:tc>
          <w:tcPr>
            <w:tcW w:w="2953" w:type="dxa"/>
          </w:tcPr>
          <w:p w14:paraId="6D55AE4F" w14:textId="3A9BA75B" w:rsidR="00385F49" w:rsidRDefault="00385F49" w:rsidP="00385F49">
            <w:pPr>
              <w:pStyle w:val="BodyText3"/>
              <w:spacing w:line="276" w:lineRule="auto"/>
              <w:jc w:val="both"/>
              <w:rPr>
                <w:sz w:val="24"/>
                <w:szCs w:val="20"/>
              </w:rPr>
            </w:pPr>
            <w:r>
              <w:rPr>
                <w:sz w:val="24"/>
                <w:szCs w:val="20"/>
              </w:rPr>
              <w:t xml:space="preserve">R&amp;M      - Domestic </w:t>
            </w:r>
          </w:p>
        </w:tc>
        <w:tc>
          <w:tcPr>
            <w:tcW w:w="1502" w:type="dxa"/>
          </w:tcPr>
          <w:p w14:paraId="0B0D1153" w14:textId="22EB8E72" w:rsidR="00385F49" w:rsidRPr="0055713A" w:rsidRDefault="00385F49" w:rsidP="00385F49">
            <w:pPr>
              <w:pStyle w:val="BodyText3"/>
              <w:spacing w:line="276" w:lineRule="auto"/>
              <w:jc w:val="right"/>
              <w:rPr>
                <w:sz w:val="24"/>
                <w:szCs w:val="24"/>
              </w:rPr>
            </w:pPr>
            <w:r w:rsidRPr="0055713A">
              <w:rPr>
                <w:sz w:val="24"/>
                <w:szCs w:val="24"/>
              </w:rPr>
              <w:t xml:space="preserve"> 77,000 </w:t>
            </w:r>
          </w:p>
        </w:tc>
        <w:tc>
          <w:tcPr>
            <w:tcW w:w="1502" w:type="dxa"/>
          </w:tcPr>
          <w:p w14:paraId="0F5E641D" w14:textId="322C4F82" w:rsidR="00385F49" w:rsidRPr="00385F49" w:rsidRDefault="00385F49" w:rsidP="00385F49">
            <w:pPr>
              <w:pStyle w:val="BodyText3"/>
              <w:spacing w:line="276" w:lineRule="auto"/>
              <w:jc w:val="right"/>
              <w:rPr>
                <w:sz w:val="24"/>
                <w:szCs w:val="24"/>
              </w:rPr>
            </w:pPr>
            <w:r w:rsidRPr="00385F49">
              <w:rPr>
                <w:sz w:val="24"/>
                <w:szCs w:val="24"/>
              </w:rPr>
              <w:t xml:space="preserve"> 88,836 </w:t>
            </w:r>
          </w:p>
        </w:tc>
        <w:tc>
          <w:tcPr>
            <w:tcW w:w="1631" w:type="dxa"/>
          </w:tcPr>
          <w:p w14:paraId="33336089" w14:textId="77777777" w:rsidR="00385F49" w:rsidRPr="00385F49" w:rsidRDefault="00385F49" w:rsidP="00385F49">
            <w:pPr>
              <w:pStyle w:val="BodyText3"/>
              <w:spacing w:line="276" w:lineRule="auto"/>
              <w:jc w:val="right"/>
              <w:rPr>
                <w:sz w:val="24"/>
                <w:szCs w:val="24"/>
              </w:rPr>
            </w:pPr>
          </w:p>
        </w:tc>
        <w:tc>
          <w:tcPr>
            <w:tcW w:w="1627" w:type="dxa"/>
          </w:tcPr>
          <w:p w14:paraId="550B43DB" w14:textId="68F303CB" w:rsidR="00385F49" w:rsidRPr="00385F49" w:rsidRDefault="00385F49" w:rsidP="00385F49">
            <w:pPr>
              <w:pStyle w:val="BodyText3"/>
              <w:spacing w:line="276" w:lineRule="auto"/>
              <w:jc w:val="right"/>
              <w:rPr>
                <w:sz w:val="24"/>
                <w:szCs w:val="24"/>
              </w:rPr>
            </w:pPr>
            <w:r w:rsidRPr="00385F49">
              <w:rPr>
                <w:sz w:val="24"/>
                <w:szCs w:val="24"/>
              </w:rPr>
              <w:t xml:space="preserve"> 88,836 </w:t>
            </w:r>
          </w:p>
        </w:tc>
      </w:tr>
      <w:tr w:rsidR="00385F49" w14:paraId="62F1F6E5" w14:textId="77777777" w:rsidTr="001B33D4">
        <w:tc>
          <w:tcPr>
            <w:tcW w:w="2953" w:type="dxa"/>
          </w:tcPr>
          <w:p w14:paraId="56BFA514" w14:textId="6BE67FF2" w:rsidR="00385F49" w:rsidRDefault="00385F49" w:rsidP="00385F49">
            <w:pPr>
              <w:pStyle w:val="BodyText3"/>
              <w:spacing w:line="276" w:lineRule="auto"/>
              <w:jc w:val="both"/>
              <w:rPr>
                <w:sz w:val="24"/>
                <w:szCs w:val="20"/>
              </w:rPr>
            </w:pPr>
            <w:r>
              <w:rPr>
                <w:sz w:val="24"/>
                <w:szCs w:val="20"/>
              </w:rPr>
              <w:t xml:space="preserve">               Commercial</w:t>
            </w:r>
          </w:p>
        </w:tc>
        <w:tc>
          <w:tcPr>
            <w:tcW w:w="1502" w:type="dxa"/>
          </w:tcPr>
          <w:p w14:paraId="112CC9BC" w14:textId="41C4752E" w:rsidR="00385F49" w:rsidRPr="0055713A" w:rsidRDefault="00385F49" w:rsidP="00385F49">
            <w:pPr>
              <w:pStyle w:val="BodyText3"/>
              <w:spacing w:line="276" w:lineRule="auto"/>
              <w:jc w:val="right"/>
              <w:rPr>
                <w:sz w:val="24"/>
                <w:szCs w:val="24"/>
              </w:rPr>
            </w:pPr>
            <w:r w:rsidRPr="0055713A">
              <w:rPr>
                <w:sz w:val="24"/>
                <w:szCs w:val="24"/>
              </w:rPr>
              <w:t xml:space="preserve"> 65,000 </w:t>
            </w:r>
          </w:p>
        </w:tc>
        <w:tc>
          <w:tcPr>
            <w:tcW w:w="1502" w:type="dxa"/>
          </w:tcPr>
          <w:p w14:paraId="7E43E020" w14:textId="77777777" w:rsidR="00385F49" w:rsidRPr="00385F49" w:rsidRDefault="00385F49" w:rsidP="00385F49">
            <w:pPr>
              <w:pStyle w:val="BodyText3"/>
              <w:spacing w:line="276" w:lineRule="auto"/>
              <w:jc w:val="right"/>
              <w:rPr>
                <w:sz w:val="24"/>
                <w:szCs w:val="24"/>
              </w:rPr>
            </w:pPr>
          </w:p>
        </w:tc>
        <w:tc>
          <w:tcPr>
            <w:tcW w:w="1631" w:type="dxa"/>
          </w:tcPr>
          <w:p w14:paraId="0CFA19A0" w14:textId="4DE56D38" w:rsidR="00385F49" w:rsidRPr="00385F49" w:rsidRDefault="00385F49" w:rsidP="00385F49">
            <w:pPr>
              <w:pStyle w:val="BodyText3"/>
              <w:spacing w:line="276" w:lineRule="auto"/>
              <w:jc w:val="right"/>
              <w:rPr>
                <w:sz w:val="24"/>
                <w:szCs w:val="24"/>
              </w:rPr>
            </w:pPr>
            <w:r w:rsidRPr="00385F49">
              <w:rPr>
                <w:sz w:val="24"/>
                <w:szCs w:val="24"/>
              </w:rPr>
              <w:t xml:space="preserve"> 137,466 </w:t>
            </w:r>
          </w:p>
        </w:tc>
        <w:tc>
          <w:tcPr>
            <w:tcW w:w="1627" w:type="dxa"/>
          </w:tcPr>
          <w:p w14:paraId="71B5B51C" w14:textId="759BDB73" w:rsidR="00385F49" w:rsidRPr="00385F49" w:rsidRDefault="00385F49" w:rsidP="00385F49">
            <w:pPr>
              <w:pStyle w:val="BodyText3"/>
              <w:spacing w:line="276" w:lineRule="auto"/>
              <w:jc w:val="right"/>
              <w:rPr>
                <w:sz w:val="24"/>
                <w:szCs w:val="24"/>
              </w:rPr>
            </w:pPr>
            <w:r w:rsidRPr="00385F49">
              <w:rPr>
                <w:sz w:val="24"/>
                <w:szCs w:val="24"/>
              </w:rPr>
              <w:t xml:space="preserve"> 137,466 </w:t>
            </w:r>
          </w:p>
        </w:tc>
      </w:tr>
      <w:tr w:rsidR="001B33D4" w14:paraId="64BD2017" w14:textId="77777777" w:rsidTr="001B33D4">
        <w:tc>
          <w:tcPr>
            <w:tcW w:w="2953" w:type="dxa"/>
          </w:tcPr>
          <w:p w14:paraId="0BEF65F8" w14:textId="77777777" w:rsidR="001B33D4" w:rsidRDefault="001B33D4" w:rsidP="00385F49">
            <w:pPr>
              <w:pStyle w:val="BodyText3"/>
              <w:spacing w:line="276" w:lineRule="auto"/>
              <w:jc w:val="right"/>
              <w:rPr>
                <w:b/>
                <w:bCs/>
                <w:sz w:val="24"/>
                <w:szCs w:val="20"/>
              </w:rPr>
            </w:pPr>
          </w:p>
        </w:tc>
        <w:tc>
          <w:tcPr>
            <w:tcW w:w="1502" w:type="dxa"/>
          </w:tcPr>
          <w:p w14:paraId="7A277FCE" w14:textId="2C676F1B" w:rsidR="001B33D4" w:rsidRPr="001B33D4" w:rsidRDefault="001B33D4" w:rsidP="00385F49">
            <w:pPr>
              <w:pStyle w:val="BodyText3"/>
              <w:spacing w:line="276" w:lineRule="auto"/>
              <w:jc w:val="right"/>
              <w:rPr>
                <w:sz w:val="24"/>
                <w:szCs w:val="24"/>
              </w:rPr>
            </w:pPr>
            <w:r w:rsidRPr="001B33D4">
              <w:rPr>
                <w:sz w:val="24"/>
                <w:szCs w:val="24"/>
              </w:rPr>
              <w:t>25,000</w:t>
            </w:r>
          </w:p>
        </w:tc>
        <w:tc>
          <w:tcPr>
            <w:tcW w:w="1502" w:type="dxa"/>
          </w:tcPr>
          <w:p w14:paraId="585F0230" w14:textId="77777777" w:rsidR="001B33D4" w:rsidRPr="00385F49" w:rsidRDefault="001B33D4" w:rsidP="00385F49">
            <w:pPr>
              <w:pStyle w:val="BodyText3"/>
              <w:spacing w:line="276" w:lineRule="auto"/>
              <w:jc w:val="right"/>
              <w:rPr>
                <w:b/>
                <w:bCs/>
                <w:sz w:val="24"/>
                <w:szCs w:val="24"/>
              </w:rPr>
            </w:pPr>
          </w:p>
        </w:tc>
        <w:tc>
          <w:tcPr>
            <w:tcW w:w="1631" w:type="dxa"/>
          </w:tcPr>
          <w:p w14:paraId="4FE3CB1F" w14:textId="77777777" w:rsidR="001B33D4" w:rsidRPr="00385F49" w:rsidRDefault="001B33D4" w:rsidP="00385F49">
            <w:pPr>
              <w:pStyle w:val="BodyText3"/>
              <w:spacing w:line="276" w:lineRule="auto"/>
              <w:jc w:val="right"/>
              <w:rPr>
                <w:b/>
                <w:bCs/>
                <w:sz w:val="24"/>
                <w:szCs w:val="24"/>
              </w:rPr>
            </w:pPr>
          </w:p>
        </w:tc>
        <w:tc>
          <w:tcPr>
            <w:tcW w:w="1627" w:type="dxa"/>
          </w:tcPr>
          <w:p w14:paraId="70F43C60" w14:textId="77777777" w:rsidR="001B33D4" w:rsidRPr="00385F49" w:rsidRDefault="001B33D4" w:rsidP="00385F49">
            <w:pPr>
              <w:pStyle w:val="BodyText3"/>
              <w:spacing w:line="276" w:lineRule="auto"/>
              <w:jc w:val="right"/>
              <w:rPr>
                <w:b/>
                <w:bCs/>
                <w:sz w:val="24"/>
                <w:szCs w:val="24"/>
              </w:rPr>
            </w:pPr>
          </w:p>
        </w:tc>
      </w:tr>
      <w:tr w:rsidR="00385F49" w14:paraId="0C463A1A" w14:textId="77777777" w:rsidTr="001B33D4">
        <w:tc>
          <w:tcPr>
            <w:tcW w:w="2953" w:type="dxa"/>
          </w:tcPr>
          <w:p w14:paraId="7799959E" w14:textId="58ABD6DC" w:rsidR="00385F49" w:rsidRPr="0055713A" w:rsidRDefault="00607905" w:rsidP="00385F49">
            <w:pPr>
              <w:pStyle w:val="BodyText3"/>
              <w:spacing w:line="276" w:lineRule="auto"/>
              <w:jc w:val="right"/>
              <w:rPr>
                <w:b/>
                <w:bCs/>
                <w:sz w:val="24"/>
                <w:szCs w:val="20"/>
              </w:rPr>
            </w:pPr>
            <w:r>
              <w:rPr>
                <w:b/>
                <w:bCs/>
                <w:sz w:val="24"/>
                <w:szCs w:val="20"/>
              </w:rPr>
              <w:t xml:space="preserve"> Revenue -</w:t>
            </w:r>
            <w:r w:rsidR="00385F49" w:rsidRPr="0055713A">
              <w:rPr>
                <w:b/>
                <w:bCs/>
                <w:sz w:val="24"/>
                <w:szCs w:val="20"/>
              </w:rPr>
              <w:t xml:space="preserve">Sub-Total </w:t>
            </w:r>
          </w:p>
        </w:tc>
        <w:tc>
          <w:tcPr>
            <w:tcW w:w="1502" w:type="dxa"/>
          </w:tcPr>
          <w:p w14:paraId="5A0DB3DA" w14:textId="79BCE762" w:rsidR="00385F49" w:rsidRPr="00385F49" w:rsidRDefault="00385F49" w:rsidP="00385F49">
            <w:pPr>
              <w:pStyle w:val="BodyText3"/>
              <w:spacing w:line="276" w:lineRule="auto"/>
              <w:jc w:val="right"/>
              <w:rPr>
                <w:b/>
                <w:bCs/>
                <w:sz w:val="24"/>
                <w:szCs w:val="24"/>
              </w:rPr>
            </w:pPr>
            <w:r w:rsidRPr="00385F49">
              <w:rPr>
                <w:b/>
                <w:bCs/>
                <w:sz w:val="24"/>
                <w:szCs w:val="24"/>
              </w:rPr>
              <w:t xml:space="preserve"> </w:t>
            </w:r>
            <w:r w:rsidR="001B33D4">
              <w:rPr>
                <w:b/>
                <w:bCs/>
                <w:sz w:val="24"/>
                <w:szCs w:val="24"/>
              </w:rPr>
              <w:t>625,000</w:t>
            </w:r>
            <w:r w:rsidRPr="00385F49">
              <w:rPr>
                <w:b/>
                <w:bCs/>
                <w:sz w:val="24"/>
                <w:szCs w:val="24"/>
              </w:rPr>
              <w:t xml:space="preserve"> </w:t>
            </w:r>
          </w:p>
        </w:tc>
        <w:tc>
          <w:tcPr>
            <w:tcW w:w="1502" w:type="dxa"/>
          </w:tcPr>
          <w:p w14:paraId="5AB989EF" w14:textId="773ED05F" w:rsidR="00385F49" w:rsidRPr="00385F49" w:rsidRDefault="00385F49" w:rsidP="00385F49">
            <w:pPr>
              <w:pStyle w:val="BodyText3"/>
              <w:spacing w:line="276" w:lineRule="auto"/>
              <w:jc w:val="right"/>
              <w:rPr>
                <w:b/>
                <w:bCs/>
                <w:sz w:val="24"/>
                <w:szCs w:val="24"/>
              </w:rPr>
            </w:pPr>
            <w:r w:rsidRPr="00385F49">
              <w:rPr>
                <w:b/>
                <w:bCs/>
                <w:sz w:val="24"/>
                <w:szCs w:val="24"/>
              </w:rPr>
              <w:t xml:space="preserve"> 551,234 </w:t>
            </w:r>
          </w:p>
        </w:tc>
        <w:tc>
          <w:tcPr>
            <w:tcW w:w="1631" w:type="dxa"/>
          </w:tcPr>
          <w:p w14:paraId="1AED8A91" w14:textId="3FCCC79F" w:rsidR="00385F49" w:rsidRPr="00385F49" w:rsidRDefault="00385F49" w:rsidP="00385F49">
            <w:pPr>
              <w:pStyle w:val="BodyText3"/>
              <w:spacing w:line="276" w:lineRule="auto"/>
              <w:jc w:val="right"/>
              <w:rPr>
                <w:b/>
                <w:bCs/>
                <w:sz w:val="24"/>
                <w:szCs w:val="24"/>
              </w:rPr>
            </w:pPr>
            <w:r w:rsidRPr="00385F49">
              <w:rPr>
                <w:b/>
                <w:bCs/>
                <w:sz w:val="24"/>
                <w:szCs w:val="24"/>
              </w:rPr>
              <w:t xml:space="preserve"> 148,778 </w:t>
            </w:r>
          </w:p>
        </w:tc>
        <w:tc>
          <w:tcPr>
            <w:tcW w:w="1627" w:type="dxa"/>
          </w:tcPr>
          <w:p w14:paraId="25E99001" w14:textId="2E12E306" w:rsidR="00385F49" w:rsidRPr="00385F49" w:rsidRDefault="00385F49" w:rsidP="00385F49">
            <w:pPr>
              <w:pStyle w:val="BodyText3"/>
              <w:spacing w:line="276" w:lineRule="auto"/>
              <w:jc w:val="right"/>
              <w:rPr>
                <w:b/>
                <w:bCs/>
                <w:sz w:val="24"/>
                <w:szCs w:val="24"/>
              </w:rPr>
            </w:pPr>
            <w:r w:rsidRPr="00385F49">
              <w:rPr>
                <w:b/>
                <w:bCs/>
                <w:sz w:val="24"/>
                <w:szCs w:val="24"/>
              </w:rPr>
              <w:t xml:space="preserve"> 700,012 </w:t>
            </w:r>
          </w:p>
        </w:tc>
      </w:tr>
      <w:tr w:rsidR="00385F49" w14:paraId="4C8E502A" w14:textId="77777777" w:rsidTr="001B33D4">
        <w:tc>
          <w:tcPr>
            <w:tcW w:w="2953" w:type="dxa"/>
          </w:tcPr>
          <w:p w14:paraId="7D2FB2B6" w14:textId="535EA185" w:rsidR="00385F49" w:rsidRDefault="00385F49" w:rsidP="00607905">
            <w:pPr>
              <w:pStyle w:val="BodyText3"/>
              <w:spacing w:line="276" w:lineRule="auto"/>
              <w:jc w:val="center"/>
              <w:rPr>
                <w:sz w:val="24"/>
                <w:szCs w:val="20"/>
              </w:rPr>
            </w:pPr>
            <w:r>
              <w:rPr>
                <w:sz w:val="24"/>
                <w:szCs w:val="20"/>
              </w:rPr>
              <w:t>Capital</w:t>
            </w:r>
          </w:p>
        </w:tc>
        <w:tc>
          <w:tcPr>
            <w:tcW w:w="1502" w:type="dxa"/>
          </w:tcPr>
          <w:p w14:paraId="29E7E3F5" w14:textId="5A017053" w:rsidR="00385F49" w:rsidRPr="0055713A" w:rsidRDefault="00385F49" w:rsidP="00385F49">
            <w:pPr>
              <w:pStyle w:val="BodyText3"/>
              <w:spacing w:line="276" w:lineRule="auto"/>
              <w:jc w:val="right"/>
              <w:rPr>
                <w:sz w:val="24"/>
                <w:szCs w:val="24"/>
              </w:rPr>
            </w:pPr>
            <w:r w:rsidRPr="0055713A">
              <w:rPr>
                <w:sz w:val="24"/>
                <w:szCs w:val="24"/>
              </w:rPr>
              <w:t xml:space="preserve"> 180,000 </w:t>
            </w:r>
          </w:p>
        </w:tc>
        <w:tc>
          <w:tcPr>
            <w:tcW w:w="1502" w:type="dxa"/>
          </w:tcPr>
          <w:p w14:paraId="402100F3" w14:textId="26021EAD" w:rsidR="00385F49" w:rsidRPr="00385F49" w:rsidRDefault="00385F49" w:rsidP="00385F49">
            <w:pPr>
              <w:pStyle w:val="BodyText3"/>
              <w:spacing w:line="276" w:lineRule="auto"/>
              <w:jc w:val="right"/>
              <w:rPr>
                <w:sz w:val="24"/>
                <w:szCs w:val="24"/>
              </w:rPr>
            </w:pPr>
            <w:r w:rsidRPr="00385F49">
              <w:rPr>
                <w:sz w:val="24"/>
                <w:szCs w:val="24"/>
              </w:rPr>
              <w:t>178,</w:t>
            </w:r>
            <w:r w:rsidR="00F5456A">
              <w:rPr>
                <w:sz w:val="24"/>
                <w:szCs w:val="24"/>
              </w:rPr>
              <w:t>388</w:t>
            </w:r>
          </w:p>
        </w:tc>
        <w:tc>
          <w:tcPr>
            <w:tcW w:w="1631" w:type="dxa"/>
          </w:tcPr>
          <w:p w14:paraId="4D2E470A" w14:textId="71F24F46" w:rsidR="00385F49" w:rsidRPr="00385F49" w:rsidRDefault="00385F49" w:rsidP="00385F49">
            <w:pPr>
              <w:pStyle w:val="BodyText3"/>
              <w:spacing w:line="276" w:lineRule="auto"/>
              <w:jc w:val="right"/>
              <w:rPr>
                <w:sz w:val="24"/>
                <w:szCs w:val="24"/>
              </w:rPr>
            </w:pPr>
            <w:r w:rsidRPr="00385F49">
              <w:rPr>
                <w:sz w:val="24"/>
                <w:szCs w:val="24"/>
              </w:rPr>
              <w:t>0</w:t>
            </w:r>
          </w:p>
        </w:tc>
        <w:tc>
          <w:tcPr>
            <w:tcW w:w="1627" w:type="dxa"/>
          </w:tcPr>
          <w:p w14:paraId="03681F88" w14:textId="50B99466" w:rsidR="00385F49" w:rsidRPr="00385F49" w:rsidRDefault="00385F49" w:rsidP="00385F49">
            <w:pPr>
              <w:pStyle w:val="BodyText3"/>
              <w:spacing w:line="276" w:lineRule="auto"/>
              <w:jc w:val="right"/>
              <w:rPr>
                <w:sz w:val="24"/>
                <w:szCs w:val="24"/>
              </w:rPr>
            </w:pPr>
            <w:r w:rsidRPr="00385F49">
              <w:rPr>
                <w:sz w:val="24"/>
                <w:szCs w:val="24"/>
              </w:rPr>
              <w:t xml:space="preserve"> 178,</w:t>
            </w:r>
            <w:r w:rsidR="00F5456A">
              <w:rPr>
                <w:sz w:val="24"/>
                <w:szCs w:val="24"/>
              </w:rPr>
              <w:t>388</w:t>
            </w:r>
            <w:r w:rsidRPr="00385F49">
              <w:rPr>
                <w:sz w:val="24"/>
                <w:szCs w:val="24"/>
              </w:rPr>
              <w:t xml:space="preserve"> </w:t>
            </w:r>
          </w:p>
        </w:tc>
      </w:tr>
      <w:tr w:rsidR="00385F49" w14:paraId="055FC77A" w14:textId="77777777" w:rsidTr="001B33D4">
        <w:tc>
          <w:tcPr>
            <w:tcW w:w="2953" w:type="dxa"/>
          </w:tcPr>
          <w:p w14:paraId="14F7F654" w14:textId="2CBBDA9C" w:rsidR="00385F49" w:rsidRPr="00385F49" w:rsidRDefault="00385F49" w:rsidP="00385F49">
            <w:pPr>
              <w:pStyle w:val="BodyText3"/>
              <w:spacing w:line="276" w:lineRule="auto"/>
              <w:jc w:val="right"/>
              <w:rPr>
                <w:b/>
                <w:bCs/>
                <w:sz w:val="24"/>
                <w:szCs w:val="20"/>
              </w:rPr>
            </w:pPr>
            <w:r w:rsidRPr="00385F49">
              <w:rPr>
                <w:b/>
                <w:bCs/>
                <w:sz w:val="24"/>
                <w:szCs w:val="20"/>
              </w:rPr>
              <w:t>Total</w:t>
            </w:r>
          </w:p>
        </w:tc>
        <w:tc>
          <w:tcPr>
            <w:tcW w:w="1502" w:type="dxa"/>
          </w:tcPr>
          <w:p w14:paraId="07B1A60C" w14:textId="7E1867D9" w:rsidR="00385F49" w:rsidRPr="00385F49" w:rsidRDefault="00385F49" w:rsidP="00385F49">
            <w:pPr>
              <w:pStyle w:val="BodyText3"/>
              <w:spacing w:line="276" w:lineRule="auto"/>
              <w:jc w:val="right"/>
              <w:rPr>
                <w:b/>
                <w:bCs/>
                <w:sz w:val="24"/>
                <w:szCs w:val="24"/>
              </w:rPr>
            </w:pPr>
            <w:r w:rsidRPr="00385F49">
              <w:rPr>
                <w:b/>
                <w:bCs/>
                <w:sz w:val="24"/>
                <w:szCs w:val="24"/>
              </w:rPr>
              <w:t xml:space="preserve"> </w:t>
            </w:r>
            <w:r w:rsidR="001B33D4">
              <w:rPr>
                <w:b/>
                <w:bCs/>
                <w:sz w:val="24"/>
                <w:szCs w:val="24"/>
              </w:rPr>
              <w:t>805,000</w:t>
            </w:r>
            <w:r w:rsidRPr="00385F49">
              <w:rPr>
                <w:b/>
                <w:bCs/>
                <w:sz w:val="24"/>
                <w:szCs w:val="24"/>
              </w:rPr>
              <w:t xml:space="preserve"> </w:t>
            </w:r>
          </w:p>
        </w:tc>
        <w:tc>
          <w:tcPr>
            <w:tcW w:w="1502" w:type="dxa"/>
          </w:tcPr>
          <w:p w14:paraId="453BD04F" w14:textId="5E0DACCE" w:rsidR="00385F49" w:rsidRPr="00385F49" w:rsidRDefault="00385F49" w:rsidP="00385F49">
            <w:pPr>
              <w:pStyle w:val="BodyText3"/>
              <w:spacing w:line="276" w:lineRule="auto"/>
              <w:jc w:val="right"/>
              <w:rPr>
                <w:b/>
                <w:bCs/>
                <w:sz w:val="24"/>
                <w:szCs w:val="24"/>
              </w:rPr>
            </w:pPr>
            <w:r w:rsidRPr="00385F49">
              <w:rPr>
                <w:b/>
                <w:bCs/>
                <w:sz w:val="24"/>
                <w:szCs w:val="24"/>
              </w:rPr>
              <w:t xml:space="preserve"> 729,</w:t>
            </w:r>
            <w:r w:rsidR="00F5456A">
              <w:rPr>
                <w:b/>
                <w:bCs/>
                <w:sz w:val="24"/>
                <w:szCs w:val="24"/>
              </w:rPr>
              <w:t>622</w:t>
            </w:r>
          </w:p>
        </w:tc>
        <w:tc>
          <w:tcPr>
            <w:tcW w:w="1631" w:type="dxa"/>
          </w:tcPr>
          <w:p w14:paraId="22B33826" w14:textId="131DEE99" w:rsidR="00385F49" w:rsidRPr="00385F49" w:rsidRDefault="00385F49" w:rsidP="00385F49">
            <w:pPr>
              <w:pStyle w:val="BodyText3"/>
              <w:spacing w:line="276" w:lineRule="auto"/>
              <w:jc w:val="right"/>
              <w:rPr>
                <w:b/>
                <w:bCs/>
                <w:sz w:val="24"/>
                <w:szCs w:val="24"/>
              </w:rPr>
            </w:pPr>
            <w:r w:rsidRPr="00385F49">
              <w:rPr>
                <w:b/>
                <w:bCs/>
                <w:sz w:val="24"/>
                <w:szCs w:val="24"/>
              </w:rPr>
              <w:t xml:space="preserve"> 148,778 </w:t>
            </w:r>
          </w:p>
        </w:tc>
        <w:tc>
          <w:tcPr>
            <w:tcW w:w="1627" w:type="dxa"/>
          </w:tcPr>
          <w:p w14:paraId="507DCE4A" w14:textId="67C0A5A1" w:rsidR="00385F49" w:rsidRPr="00385F49" w:rsidRDefault="00385F49" w:rsidP="00385F49">
            <w:pPr>
              <w:pStyle w:val="BodyText3"/>
              <w:spacing w:line="276" w:lineRule="auto"/>
              <w:jc w:val="right"/>
              <w:rPr>
                <w:b/>
                <w:bCs/>
                <w:sz w:val="24"/>
                <w:szCs w:val="24"/>
              </w:rPr>
            </w:pPr>
            <w:r w:rsidRPr="00385F49">
              <w:rPr>
                <w:b/>
                <w:bCs/>
                <w:sz w:val="24"/>
                <w:szCs w:val="24"/>
              </w:rPr>
              <w:t xml:space="preserve"> 878,</w:t>
            </w:r>
            <w:r w:rsidR="00F5456A">
              <w:rPr>
                <w:b/>
                <w:bCs/>
                <w:sz w:val="24"/>
                <w:szCs w:val="24"/>
              </w:rPr>
              <w:t>400</w:t>
            </w:r>
            <w:r w:rsidRPr="00385F49">
              <w:rPr>
                <w:b/>
                <w:bCs/>
                <w:sz w:val="24"/>
                <w:szCs w:val="24"/>
              </w:rPr>
              <w:t xml:space="preserve"> </w:t>
            </w:r>
          </w:p>
        </w:tc>
      </w:tr>
      <w:bookmarkEnd w:id="5"/>
    </w:tbl>
    <w:p w14:paraId="4952966A" w14:textId="77777777" w:rsidR="009849D2" w:rsidRDefault="009849D2" w:rsidP="009849D2">
      <w:pPr>
        <w:pStyle w:val="BodyText3"/>
        <w:spacing w:line="276" w:lineRule="auto"/>
        <w:jc w:val="both"/>
        <w:rPr>
          <w:sz w:val="24"/>
          <w:szCs w:val="20"/>
        </w:rPr>
      </w:pPr>
    </w:p>
    <w:p w14:paraId="63583898" w14:textId="2EA93213" w:rsidR="00C5126D" w:rsidRDefault="00C5126D" w:rsidP="00DE2AA0">
      <w:pPr>
        <w:autoSpaceDE w:val="0"/>
        <w:autoSpaceDN w:val="0"/>
        <w:adjustRightInd w:val="0"/>
        <w:ind w:left="720" w:hanging="720"/>
        <w:jc w:val="both"/>
      </w:pPr>
      <w:r>
        <w:t xml:space="preserve">14.2   </w:t>
      </w:r>
      <w:r w:rsidR="008C4227">
        <w:t xml:space="preserve"> </w:t>
      </w:r>
      <w:r w:rsidR="009849D2" w:rsidRPr="004873F4">
        <w:t xml:space="preserve">The tender price for revenue exceeds the </w:t>
      </w:r>
      <w:r w:rsidR="001B541A">
        <w:t xml:space="preserve">full year </w:t>
      </w:r>
      <w:r w:rsidR="009849D2" w:rsidRPr="004873F4">
        <w:t>budget provision within the HRA by £</w:t>
      </w:r>
      <w:r w:rsidR="001B33D4">
        <w:t>75,012 (£700,012 - £625,000)</w:t>
      </w:r>
      <w:r w:rsidR="0065400C">
        <w:t>.</w:t>
      </w:r>
      <w:r w:rsidR="00496F19">
        <w:t xml:space="preserve"> </w:t>
      </w:r>
      <w:r w:rsidR="004448C7">
        <w:t xml:space="preserve"> </w:t>
      </w:r>
      <w:r w:rsidR="00385F49">
        <w:t>The level of repairs</w:t>
      </w:r>
      <w:r w:rsidR="00343B7F">
        <w:t xml:space="preserve"> will vary but </w:t>
      </w:r>
      <w:r w:rsidR="00385F49">
        <w:t>is</w:t>
      </w:r>
      <w:r w:rsidR="00343B7F">
        <w:t xml:space="preserve"> expected </w:t>
      </w:r>
      <w:r w:rsidR="00385F49">
        <w:t>to reduce as aging boilers are planned to be replaced and alternatives</w:t>
      </w:r>
      <w:r>
        <w:t xml:space="preserve"> </w:t>
      </w:r>
      <w:r w:rsidR="00385F49">
        <w:t>such as ground source heat pumps will be considered</w:t>
      </w:r>
      <w:r w:rsidR="001B33D4">
        <w:t xml:space="preserve">. The table in para 4.5 sets out the estimated savings </w:t>
      </w:r>
      <w:r w:rsidR="007B47B1">
        <w:t>from moving to ground heat pumps and other technology.  The table shows that there is a £</w:t>
      </w:r>
      <w:r w:rsidR="00913A26">
        <w:t xml:space="preserve">26k </w:t>
      </w:r>
      <w:r w:rsidR="007B47B1">
        <w:t xml:space="preserve">funding shortfall in 2022/23 which will be </w:t>
      </w:r>
      <w:r w:rsidR="003B0123">
        <w:t xml:space="preserve">contained within </w:t>
      </w:r>
      <w:r w:rsidR="007B47B1">
        <w:t xml:space="preserve">the </w:t>
      </w:r>
      <w:r w:rsidR="00913A26">
        <w:t>budget provision by either prioritising expenditure or reducing activity</w:t>
      </w:r>
      <w:r w:rsidR="00F07E06">
        <w:t xml:space="preserve"> </w:t>
      </w:r>
      <w:r w:rsidR="007B47B1">
        <w:t>and</w:t>
      </w:r>
      <w:r w:rsidR="003B0123">
        <w:t xml:space="preserve"> for </w:t>
      </w:r>
      <w:r w:rsidR="007B47B1">
        <w:t xml:space="preserve">future years of the contract </w:t>
      </w:r>
      <w:r w:rsidR="003B0123">
        <w:t xml:space="preserve">the shortfall is </w:t>
      </w:r>
      <w:r w:rsidR="00D236C4">
        <w:t xml:space="preserve">fully </w:t>
      </w:r>
      <w:r w:rsidR="003B0123">
        <w:t xml:space="preserve">funded with no recourse to HRA reserves. </w:t>
      </w:r>
    </w:p>
    <w:p w14:paraId="2BF2C464" w14:textId="77777777" w:rsidR="00DE2AA0" w:rsidRDefault="00DE2AA0" w:rsidP="00DE2AA0">
      <w:pPr>
        <w:autoSpaceDE w:val="0"/>
        <w:autoSpaceDN w:val="0"/>
        <w:adjustRightInd w:val="0"/>
        <w:ind w:left="720" w:hanging="720"/>
        <w:jc w:val="both"/>
      </w:pPr>
    </w:p>
    <w:p w14:paraId="6CB4908F" w14:textId="5DF04ACE" w:rsidR="009849D2" w:rsidRDefault="00C5126D" w:rsidP="00D236C4">
      <w:pPr>
        <w:autoSpaceDE w:val="0"/>
        <w:autoSpaceDN w:val="0"/>
        <w:adjustRightInd w:val="0"/>
        <w:ind w:left="720" w:hanging="720"/>
        <w:jc w:val="both"/>
      </w:pPr>
      <w:r>
        <w:t xml:space="preserve">14.3  </w:t>
      </w:r>
      <w:r w:rsidR="008C4227">
        <w:t xml:space="preserve"> </w:t>
      </w:r>
      <w:r w:rsidR="003B0123">
        <w:t>There are estimated mobilisation costs of £35k which will be funded from the R</w:t>
      </w:r>
      <w:r w:rsidR="001F1E8B">
        <w:t xml:space="preserve">epairs and </w:t>
      </w:r>
      <w:r w:rsidR="003B0123">
        <w:t>M</w:t>
      </w:r>
      <w:r w:rsidR="001F1E8B">
        <w:t>aintenance</w:t>
      </w:r>
      <w:r w:rsidR="003B0123">
        <w:t xml:space="preserve"> reserve that was set up for these costs.  There is also a part year cost pressure of £10</w:t>
      </w:r>
      <w:r w:rsidR="00D236C4">
        <w:t>,367</w:t>
      </w:r>
      <w:r w:rsidR="003B0123">
        <w:t xml:space="preserve"> in 2021/22 which can be contained within the </w:t>
      </w:r>
      <w:r w:rsidR="00980FD4">
        <w:t xml:space="preserve">repairs and maintenance </w:t>
      </w:r>
      <w:r w:rsidR="003B0123">
        <w:t>budget.</w:t>
      </w:r>
    </w:p>
    <w:p w14:paraId="4B717EA7" w14:textId="77777777" w:rsidR="00D236C4" w:rsidRDefault="00D236C4" w:rsidP="00D236C4">
      <w:pPr>
        <w:autoSpaceDE w:val="0"/>
        <w:autoSpaceDN w:val="0"/>
        <w:adjustRightInd w:val="0"/>
        <w:ind w:left="720" w:hanging="720"/>
        <w:jc w:val="both"/>
      </w:pPr>
    </w:p>
    <w:p w14:paraId="661AB742" w14:textId="26B7A85F" w:rsidR="009849D2" w:rsidRPr="00B60D40" w:rsidRDefault="00C5126D" w:rsidP="00DE2AA0">
      <w:pPr>
        <w:pStyle w:val="BodyText3"/>
        <w:ind w:left="709" w:hanging="709"/>
        <w:jc w:val="both"/>
      </w:pPr>
      <w:bookmarkStart w:id="6" w:name="_Hlk86243060"/>
      <w:r>
        <w:rPr>
          <w:sz w:val="24"/>
          <w:szCs w:val="20"/>
        </w:rPr>
        <w:t xml:space="preserve">14.4  </w:t>
      </w:r>
      <w:r w:rsidR="009849D2">
        <w:rPr>
          <w:sz w:val="24"/>
          <w:szCs w:val="20"/>
        </w:rPr>
        <w:t xml:space="preserve">The level of boiler replacement and resources required will need to be </w:t>
      </w:r>
      <w:r w:rsidR="00A61138">
        <w:rPr>
          <w:sz w:val="24"/>
          <w:szCs w:val="20"/>
        </w:rPr>
        <w:t xml:space="preserve">  </w:t>
      </w:r>
      <w:r w:rsidR="009849D2">
        <w:rPr>
          <w:sz w:val="24"/>
          <w:szCs w:val="20"/>
        </w:rPr>
        <w:t>determined for 2022/23 and contained within the Planned Investment Capital budget for 2022/23 which is currently £5.825m</w:t>
      </w:r>
      <w:bookmarkEnd w:id="6"/>
      <w:r w:rsidR="009849D2">
        <w:rPr>
          <w:sz w:val="24"/>
          <w:szCs w:val="20"/>
        </w:rPr>
        <w:t xml:space="preserve">. </w:t>
      </w:r>
    </w:p>
    <w:p w14:paraId="04B07B61" w14:textId="27F51146" w:rsidR="009849D2" w:rsidRDefault="00C5126D" w:rsidP="00A61138">
      <w:pPr>
        <w:ind w:left="709" w:hanging="709"/>
      </w:pPr>
      <w:r>
        <w:t xml:space="preserve">14.5  </w:t>
      </w:r>
      <w:r w:rsidR="00A61138">
        <w:t xml:space="preserve"> </w:t>
      </w:r>
      <w:r w:rsidR="005742A1">
        <w:t xml:space="preserve">Contractual inflation of CPI (Consumer Prices Index) is included within </w:t>
      </w:r>
      <w:r w:rsidR="00A61138">
        <w:t xml:space="preserve">    </w:t>
      </w:r>
      <w:r w:rsidR="005742A1">
        <w:t>the contract which will mean future inflationary increases in the budget will be required for each of the six years of these contracts.</w:t>
      </w:r>
      <w:r>
        <w:t xml:space="preserve"> </w:t>
      </w:r>
      <w:r w:rsidR="005742A1">
        <w:t>Once this contract is in place</w:t>
      </w:r>
      <w:r w:rsidR="00473015">
        <w:t xml:space="preserve">. </w:t>
      </w:r>
      <w:r w:rsidR="005742A1">
        <w:t xml:space="preserve"> Finance officers will work closely with the service to ensure costs are closely monitored and reported. It will be necessary to seek additional approval should any costs exceed the approved budget</w:t>
      </w:r>
      <w:r w:rsidR="00AC634F">
        <w:t>.</w:t>
      </w:r>
    </w:p>
    <w:p w14:paraId="3E09B501" w14:textId="2F46E086" w:rsidR="009849D2" w:rsidRDefault="009849D2" w:rsidP="009849D2"/>
    <w:p w14:paraId="4D203FD5" w14:textId="6FD86C87" w:rsidR="005742A1" w:rsidRPr="009849D2" w:rsidRDefault="00C5126D" w:rsidP="00A61138">
      <w:pPr>
        <w:ind w:left="709" w:hanging="709"/>
      </w:pPr>
      <w:r>
        <w:t xml:space="preserve">14.6   </w:t>
      </w:r>
      <w:r w:rsidR="005742A1">
        <w:t>Financial status of the contractors</w:t>
      </w:r>
      <w:r w:rsidR="00AC634F">
        <w:t>:</w:t>
      </w:r>
      <w:r w:rsidR="00F07E06">
        <w:t xml:space="preserve"> </w:t>
      </w:r>
      <w:r w:rsidR="005742A1">
        <w:t xml:space="preserve">As part of the tender process credit checks were carried out </w:t>
      </w:r>
      <w:r w:rsidR="00BC542D">
        <w:t>and the</w:t>
      </w:r>
      <w:r w:rsidR="004E1627">
        <w:t xml:space="preserve"> </w:t>
      </w:r>
      <w:r w:rsidR="00BC542D">
        <w:t>latest audited</w:t>
      </w:r>
      <w:r w:rsidR="004E1627">
        <w:t xml:space="preserve"> accounts reviewed</w:t>
      </w:r>
      <w:r w:rsidR="00AC634F">
        <w:t>.</w:t>
      </w:r>
      <w:r w:rsidR="004E1627">
        <w:t xml:space="preserve"> </w:t>
      </w:r>
      <w:r w:rsidR="00AC634F">
        <w:t>F</w:t>
      </w:r>
      <w:r w:rsidR="004E1627">
        <w:t>inance officers reviewed ke</w:t>
      </w:r>
      <w:r w:rsidR="00805342">
        <w:t>y</w:t>
      </w:r>
      <w:r w:rsidR="004E1627">
        <w:t xml:space="preserve"> accounting ratios and found these to be satisfactory.</w:t>
      </w:r>
    </w:p>
    <w:p w14:paraId="41D80CF8" w14:textId="71C8CCF7" w:rsidR="00333FAA" w:rsidRPr="00303FD6" w:rsidRDefault="009849D2" w:rsidP="00A1211C">
      <w:pPr>
        <w:pStyle w:val="Heading3"/>
        <w:spacing w:before="480" w:after="240"/>
        <w:rPr>
          <w:color w:val="FF0000"/>
        </w:rPr>
      </w:pPr>
      <w:r>
        <w:t xml:space="preserve">15.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2FA8DEF8" w14:textId="35EF7BB9" w:rsidR="006C118E" w:rsidRPr="006C118E" w:rsidRDefault="006B0D69" w:rsidP="006C118E">
      <w:pPr>
        <w:autoSpaceDE w:val="0"/>
        <w:autoSpaceDN w:val="0"/>
        <w:adjustRightInd w:val="0"/>
        <w:ind w:left="720" w:hanging="720"/>
        <w:jc w:val="both"/>
      </w:pPr>
      <w:r>
        <w:t>15</w:t>
      </w:r>
      <w:r w:rsidR="0059630E">
        <w:t>.1</w:t>
      </w:r>
      <w:r w:rsidR="0059630E">
        <w:tab/>
      </w:r>
      <w:r w:rsidR="006C118E" w:rsidRPr="006C118E">
        <w:t>The procurement exercise was designed to deliver existing policies and strategies maintaining the current level of equality in service provision. The contract specification was clear on the equalities related duties on contractors, given the wide range of needs of our customers.</w:t>
      </w:r>
    </w:p>
    <w:p w14:paraId="7C7E9207" w14:textId="77777777" w:rsidR="006C118E" w:rsidRPr="006C118E" w:rsidRDefault="006C118E" w:rsidP="006C118E">
      <w:pPr>
        <w:autoSpaceDE w:val="0"/>
        <w:autoSpaceDN w:val="0"/>
        <w:adjustRightInd w:val="0"/>
        <w:jc w:val="both"/>
      </w:pPr>
    </w:p>
    <w:p w14:paraId="6BCC7A1E" w14:textId="7CFD78B2" w:rsidR="00B216A0" w:rsidRDefault="0059630E" w:rsidP="00DE2AA0">
      <w:pPr>
        <w:autoSpaceDE w:val="0"/>
        <w:autoSpaceDN w:val="0"/>
        <w:adjustRightInd w:val="0"/>
        <w:ind w:left="720" w:hanging="720"/>
        <w:jc w:val="both"/>
        <w:rPr>
          <w:color w:val="00B0F0"/>
        </w:rPr>
      </w:pPr>
      <w:r>
        <w:t>1</w:t>
      </w:r>
      <w:r w:rsidR="006B0D69">
        <w:t>5</w:t>
      </w:r>
      <w:r w:rsidR="006C118E" w:rsidRPr="006C118E">
        <w:t>.2</w:t>
      </w:r>
      <w:r w:rsidR="006C118E" w:rsidRPr="006C118E">
        <w:tab/>
        <w:t>An initial Equality Impact Assessment was prepared specifically for the procurement exercise and this identified no need for a full assessment at this stage because it did not identify any potential for unlawful conduct or disproportionate impact. All opportunities to address diversity-</w:t>
      </w:r>
      <w:r w:rsidR="006C118E" w:rsidRPr="006C118E">
        <w:lastRenderedPageBreak/>
        <w:t xml:space="preserve">particularly vulnerability for all tenants and has been addressed to ensure residents receive the same service regardless </w:t>
      </w:r>
      <w:r w:rsidR="00A665DE" w:rsidRPr="006C118E">
        <w:t>of but</w:t>
      </w:r>
      <w:r w:rsidR="006C118E" w:rsidRPr="006C118E">
        <w:t xml:space="preserve"> </w:t>
      </w:r>
      <w:r w:rsidR="00A665DE" w:rsidRPr="006C118E">
        <w:t>considering</w:t>
      </w:r>
      <w:r w:rsidR="006C118E" w:rsidRPr="006C118E">
        <w:t xml:space="preserve"> specific needs. </w:t>
      </w:r>
    </w:p>
    <w:p w14:paraId="5514D939" w14:textId="77777777" w:rsidR="00333FAA" w:rsidRDefault="00333FAA" w:rsidP="000B7C66">
      <w:pPr>
        <w:pStyle w:val="Heading2"/>
        <w:spacing w:before="480" w:after="240"/>
      </w:pPr>
      <w:r>
        <w:t>Section 3 - Statutory Officer Clearance</w:t>
      </w:r>
    </w:p>
    <w:p w14:paraId="246857EF" w14:textId="77777777" w:rsidR="00777A17" w:rsidRDefault="00777A17" w:rsidP="00777A17">
      <w:pPr>
        <w:rPr>
          <w:sz w:val="28"/>
        </w:rPr>
      </w:pPr>
      <w:r>
        <w:rPr>
          <w:b/>
          <w:sz w:val="28"/>
        </w:rPr>
        <w:t>Statutory Officer:  Tasleem Kazmi</w:t>
      </w:r>
    </w:p>
    <w:p w14:paraId="1C0F1096" w14:textId="28FCE77F" w:rsidR="00777A17" w:rsidRDefault="00777A17" w:rsidP="00777A17">
      <w:pPr>
        <w:rPr>
          <w:sz w:val="28"/>
        </w:rPr>
      </w:pPr>
      <w:r>
        <w:t>Signed on behalf of the Chief Financial Officer</w:t>
      </w:r>
    </w:p>
    <w:p w14:paraId="08FC1054" w14:textId="760E4C43" w:rsidR="00777A17" w:rsidRDefault="00777A17" w:rsidP="00777A17">
      <w:pPr>
        <w:spacing w:after="480"/>
        <w:rPr>
          <w:sz w:val="28"/>
        </w:rPr>
      </w:pPr>
      <w:r>
        <w:rPr>
          <w:b/>
          <w:sz w:val="28"/>
        </w:rPr>
        <w:t xml:space="preserve">Date:  </w:t>
      </w:r>
      <w:r w:rsidR="00F07E06">
        <w:rPr>
          <w:b/>
          <w:sz w:val="28"/>
        </w:rPr>
        <w:t>05.11.2021</w:t>
      </w:r>
    </w:p>
    <w:p w14:paraId="490B2515" w14:textId="77777777" w:rsidR="00777A17" w:rsidRDefault="00777A17" w:rsidP="00777A17">
      <w:pPr>
        <w:rPr>
          <w:sz w:val="28"/>
        </w:rPr>
      </w:pPr>
      <w:r>
        <w:rPr>
          <w:b/>
          <w:sz w:val="28"/>
        </w:rPr>
        <w:t>Statutory Officer:  Sarah Inverary</w:t>
      </w:r>
    </w:p>
    <w:p w14:paraId="7CF3B31E" w14:textId="0949C869" w:rsidR="00777A17" w:rsidRDefault="00777A17" w:rsidP="00777A17">
      <w:pPr>
        <w:rPr>
          <w:sz w:val="28"/>
        </w:rPr>
      </w:pPr>
      <w:r>
        <w:t>Signed on behalf of the Monitoring Officer</w:t>
      </w:r>
    </w:p>
    <w:p w14:paraId="2C2B8B92" w14:textId="52A7DCA3" w:rsidR="00777A17" w:rsidRDefault="00777A17" w:rsidP="00777A17">
      <w:pPr>
        <w:spacing w:after="480"/>
        <w:rPr>
          <w:sz w:val="28"/>
        </w:rPr>
      </w:pPr>
      <w:r>
        <w:rPr>
          <w:b/>
          <w:sz w:val="28"/>
        </w:rPr>
        <w:t xml:space="preserve">Date:  </w:t>
      </w:r>
      <w:r w:rsidR="008E58AC">
        <w:rPr>
          <w:b/>
          <w:sz w:val="28"/>
        </w:rPr>
        <w:t xml:space="preserve">8.11.21 </w:t>
      </w:r>
    </w:p>
    <w:p w14:paraId="1D963BAE" w14:textId="671BAA6F" w:rsidR="00777A17" w:rsidRDefault="00777A17" w:rsidP="00777A17">
      <w:pPr>
        <w:rPr>
          <w:sz w:val="28"/>
        </w:rPr>
      </w:pPr>
      <w:r>
        <w:rPr>
          <w:b/>
          <w:sz w:val="28"/>
        </w:rPr>
        <w:t xml:space="preserve">Statutory Officer:  </w:t>
      </w:r>
      <w:r w:rsidR="00620202">
        <w:rPr>
          <w:b/>
          <w:sz w:val="28"/>
        </w:rPr>
        <w:t>Nimesh Mehta</w:t>
      </w:r>
    </w:p>
    <w:p w14:paraId="63FC08E8" w14:textId="440DE4E7" w:rsidR="00777A17" w:rsidRPr="00B44BBC" w:rsidRDefault="00DE2AA0" w:rsidP="00DE2AA0">
      <w:pPr>
        <w:rPr>
          <w:b/>
          <w:bCs/>
          <w:sz w:val="28"/>
        </w:rPr>
      </w:pPr>
      <w:r>
        <w:t xml:space="preserve">Signed by the </w:t>
      </w:r>
      <w:r w:rsidR="00777A17">
        <w:t>Head of Procurement</w:t>
      </w:r>
      <w:r w:rsidR="00777A17">
        <w:rPr>
          <w:rFonts w:cs="Arial"/>
          <w:color w:val="FF0000"/>
        </w:rPr>
        <w:t xml:space="preserve"> </w:t>
      </w:r>
    </w:p>
    <w:p w14:paraId="56EEA9DC" w14:textId="10C9D0A0" w:rsidR="00777A17" w:rsidRPr="00B44BBC" w:rsidRDefault="00777A17" w:rsidP="00777A17">
      <w:pPr>
        <w:spacing w:after="480"/>
        <w:rPr>
          <w:b/>
          <w:bCs/>
          <w:sz w:val="28"/>
        </w:rPr>
      </w:pPr>
      <w:r w:rsidRPr="00B44BBC">
        <w:rPr>
          <w:b/>
          <w:bCs/>
          <w:sz w:val="28"/>
        </w:rPr>
        <w:t xml:space="preserve">Date:  </w:t>
      </w:r>
      <w:r w:rsidR="001A5539" w:rsidRPr="00B44BBC">
        <w:rPr>
          <w:b/>
          <w:bCs/>
          <w:sz w:val="28"/>
        </w:rPr>
        <w:t>5.11.21</w:t>
      </w:r>
    </w:p>
    <w:p w14:paraId="1CF7473F" w14:textId="77777777" w:rsidR="00777A17" w:rsidRDefault="00777A17" w:rsidP="00777A17">
      <w:pPr>
        <w:rPr>
          <w:sz w:val="28"/>
        </w:rPr>
      </w:pPr>
      <w:r>
        <w:rPr>
          <w:b/>
          <w:sz w:val="28"/>
        </w:rPr>
        <w:t>Statutory Officer:  Susan Dixon</w:t>
      </w:r>
    </w:p>
    <w:p w14:paraId="065C82EE" w14:textId="1F5BF635" w:rsidR="00777A17" w:rsidRDefault="00777A17" w:rsidP="00777A17">
      <w:pPr>
        <w:rPr>
          <w:sz w:val="28"/>
        </w:rPr>
      </w:pPr>
      <w:r>
        <w:t xml:space="preserve">Signed </w:t>
      </w:r>
      <w:r w:rsidR="00DE2AA0">
        <w:t>by</w:t>
      </w:r>
      <w:r>
        <w:t xml:space="preserve"> the Head of Internal Audit</w:t>
      </w:r>
    </w:p>
    <w:p w14:paraId="26179205" w14:textId="76FD7591" w:rsidR="00777A17" w:rsidRDefault="00777A17" w:rsidP="00777A17">
      <w:pPr>
        <w:spacing w:after="480"/>
        <w:rPr>
          <w:sz w:val="28"/>
        </w:rPr>
      </w:pPr>
      <w:r>
        <w:rPr>
          <w:b/>
          <w:sz w:val="28"/>
        </w:rPr>
        <w:t xml:space="preserve">Date:  </w:t>
      </w:r>
      <w:r w:rsidR="001D7CA9">
        <w:rPr>
          <w:b/>
          <w:sz w:val="28"/>
        </w:rPr>
        <w:t xml:space="preserve"> 8.11.21</w:t>
      </w:r>
    </w:p>
    <w:p w14:paraId="26DDA50D" w14:textId="77777777" w:rsidR="00852DA0" w:rsidRDefault="00777A17" w:rsidP="00777A17">
      <w:r>
        <w:rPr>
          <w:b/>
          <w:sz w:val="28"/>
        </w:rPr>
        <w:t xml:space="preserve">Statutory Officer:  </w:t>
      </w:r>
      <w:r w:rsidR="007A366E">
        <w:rPr>
          <w:b/>
          <w:sz w:val="28"/>
        </w:rPr>
        <w:t xml:space="preserve"> Dipti </w:t>
      </w:r>
      <w:r w:rsidR="007246FE">
        <w:rPr>
          <w:b/>
          <w:sz w:val="28"/>
        </w:rPr>
        <w:t>Patel</w:t>
      </w:r>
      <w:r w:rsidR="007246FE">
        <w:t xml:space="preserve"> </w:t>
      </w:r>
    </w:p>
    <w:p w14:paraId="7999F36A" w14:textId="260121C0" w:rsidR="00777A17" w:rsidRDefault="007246FE" w:rsidP="00777A17">
      <w:pPr>
        <w:rPr>
          <w:sz w:val="28"/>
        </w:rPr>
      </w:pPr>
      <w:r>
        <w:t>Signed</w:t>
      </w:r>
      <w:r w:rsidR="00777A17">
        <w:t xml:space="preserve"> by the Corporate Director</w:t>
      </w:r>
    </w:p>
    <w:p w14:paraId="221C333A" w14:textId="6A9DB943" w:rsidR="00777A17" w:rsidRDefault="00777A17" w:rsidP="00777A17">
      <w:pPr>
        <w:spacing w:after="480"/>
        <w:rPr>
          <w:b/>
          <w:sz w:val="28"/>
        </w:rPr>
      </w:pPr>
      <w:r>
        <w:rPr>
          <w:b/>
          <w:sz w:val="28"/>
        </w:rPr>
        <w:t xml:space="preserve">Date:  </w:t>
      </w:r>
      <w:r w:rsidR="00092058">
        <w:rPr>
          <w:b/>
          <w:sz w:val="28"/>
        </w:rPr>
        <w:t>9.11.21</w:t>
      </w:r>
      <w:r w:rsidR="00092058">
        <w:rPr>
          <w:b/>
          <w:color w:val="FF0000"/>
          <w:sz w:val="28"/>
        </w:rPr>
        <w:t xml:space="preserve"> </w:t>
      </w:r>
    </w:p>
    <w:p w14:paraId="2EE60C84" w14:textId="77777777" w:rsidR="00777A17" w:rsidRDefault="00777A17" w:rsidP="00777A17">
      <w:pPr>
        <w:pStyle w:val="Heading2"/>
        <w:spacing w:after="240"/>
      </w:pPr>
      <w:r>
        <w:t>Mandatory Checks</w:t>
      </w:r>
    </w:p>
    <w:p w14:paraId="4A7AF2A1" w14:textId="277EA34B" w:rsidR="00777A17" w:rsidRDefault="00777A17" w:rsidP="00777A17">
      <w:pPr>
        <w:pStyle w:val="Heading3"/>
        <w:ind w:left="0" w:firstLine="0"/>
        <w:jc w:val="left"/>
      </w:pPr>
      <w:r>
        <w:t xml:space="preserve">Ward Councillors notified:  </w:t>
      </w:r>
      <w:r w:rsidR="00852DA0">
        <w:t>NO</w:t>
      </w:r>
      <w:r>
        <w:t xml:space="preserve"> </w:t>
      </w:r>
    </w:p>
    <w:p w14:paraId="403E0E8D" w14:textId="06322A4C" w:rsidR="00777A17" w:rsidRDefault="00777A17" w:rsidP="00DE2AA0">
      <w:pPr>
        <w:pStyle w:val="Heading3"/>
        <w:spacing w:before="240"/>
        <w:rPr>
          <w:lang w:eastAsia="en-GB"/>
        </w:rPr>
      </w:pPr>
      <w:r>
        <w:t xml:space="preserve">EqIA carried out:  </w:t>
      </w:r>
      <w:r w:rsidRPr="00DE2AA0">
        <w:rPr>
          <w:b w:val="0"/>
          <w:bCs w:val="0"/>
          <w:lang w:eastAsia="en-GB"/>
        </w:rPr>
        <w:t>YES</w:t>
      </w:r>
      <w:r w:rsidR="00852DA0" w:rsidRPr="00DE2AA0">
        <w:rPr>
          <w:b w:val="0"/>
          <w:bCs w:val="0"/>
          <w:lang w:eastAsia="en-GB"/>
        </w:rPr>
        <w:t xml:space="preserve"> - </w:t>
      </w:r>
      <w:r w:rsidR="00980FD4" w:rsidRPr="00DE2AA0">
        <w:rPr>
          <w:b w:val="0"/>
          <w:bCs w:val="0"/>
          <w:lang w:eastAsia="en-GB"/>
        </w:rPr>
        <w:t>A</w:t>
      </w:r>
      <w:r w:rsidRPr="00DE2AA0">
        <w:rPr>
          <w:b w:val="0"/>
          <w:bCs w:val="0"/>
          <w:lang w:eastAsia="en-GB"/>
        </w:rPr>
        <w:t xml:space="preserve">n overarching </w:t>
      </w:r>
      <w:r w:rsidR="00852DA0" w:rsidRPr="00DE2AA0">
        <w:rPr>
          <w:b w:val="0"/>
          <w:bCs w:val="0"/>
          <w:lang w:eastAsia="en-GB"/>
        </w:rPr>
        <w:t>Equalities Impact Assessment (EqIA)</w:t>
      </w:r>
      <w:r w:rsidRPr="00DE2AA0">
        <w:rPr>
          <w:b w:val="0"/>
          <w:bCs w:val="0"/>
          <w:lang w:eastAsia="en-GB"/>
        </w:rPr>
        <w:t xml:space="preserve"> was undertaken for the programme</w:t>
      </w:r>
      <w:r w:rsidRPr="00DE2AA0">
        <w:rPr>
          <w:b w:val="0"/>
          <w:bCs w:val="0"/>
        </w:rPr>
        <w:t xml:space="preserve"> </w:t>
      </w:r>
      <w:r w:rsidR="00852DA0" w:rsidRPr="00DE2AA0">
        <w:rPr>
          <w:b w:val="0"/>
          <w:bCs w:val="0"/>
        </w:rPr>
        <w:t xml:space="preserve">by the </w:t>
      </w:r>
      <w:r w:rsidRPr="00DE2AA0">
        <w:rPr>
          <w:b w:val="0"/>
          <w:bCs w:val="0"/>
          <w:lang w:eastAsia="en-GB"/>
        </w:rPr>
        <w:t>Directorate Equality Task Group.</w:t>
      </w:r>
    </w:p>
    <w:p w14:paraId="31C5E49F" w14:textId="44B61A9C" w:rsidR="00DE2AA0" w:rsidRDefault="00777A17" w:rsidP="00DE2AA0">
      <w:pPr>
        <w:pStyle w:val="Heading3"/>
        <w:spacing w:before="240"/>
        <w:jc w:val="left"/>
      </w:pPr>
      <w:r>
        <w:t xml:space="preserve">EqIA cleared by: </w:t>
      </w:r>
      <w:r w:rsidRPr="00DE2AA0">
        <w:rPr>
          <w:b w:val="0"/>
          <w:bCs w:val="0"/>
        </w:rPr>
        <w:t>(</w:t>
      </w:r>
      <w:r w:rsidRPr="00DE2AA0">
        <w:rPr>
          <w:b w:val="0"/>
          <w:bCs w:val="0"/>
          <w:lang w:eastAsia="en-GB"/>
        </w:rPr>
        <w:t>DETG) Chair</w:t>
      </w:r>
    </w:p>
    <w:p w14:paraId="0B0F0CE2" w14:textId="3A7B9312" w:rsidR="00777A17" w:rsidRDefault="00777A17" w:rsidP="00777A17">
      <w:pPr>
        <w:pStyle w:val="Heading2"/>
        <w:spacing w:before="480" w:after="240"/>
      </w:pPr>
      <w:r>
        <w:t>Section 4 - Contact Details and Background Papers</w:t>
      </w:r>
    </w:p>
    <w:p w14:paraId="5B6DEA0E" w14:textId="0F0C4E3A" w:rsidR="00777A17" w:rsidRPr="0091796C" w:rsidRDefault="00777A17" w:rsidP="00777A17">
      <w:pPr>
        <w:pStyle w:val="Infotext"/>
        <w:spacing w:after="240"/>
        <w:ind w:left="1440" w:hanging="1440"/>
      </w:pPr>
      <w:r>
        <w:rPr>
          <w:b/>
        </w:rPr>
        <w:t xml:space="preserve">Contact:  </w:t>
      </w:r>
      <w:r>
        <w:rPr>
          <w:b/>
        </w:rPr>
        <w:tab/>
      </w:r>
      <w:r>
        <w:t>Andrew Campion</w:t>
      </w:r>
      <w:r w:rsidRPr="0091796C">
        <w:t xml:space="preserve">, </w:t>
      </w:r>
      <w:r>
        <w:t>Head of Asset Management</w:t>
      </w:r>
      <w:r w:rsidRPr="0091796C">
        <w:t xml:space="preserve">, </w:t>
      </w:r>
      <w:r w:rsidR="00DE2AA0">
        <w:t xml:space="preserve">tel. </w:t>
      </w:r>
      <w:r w:rsidRPr="00C057C7">
        <w:t>07927</w:t>
      </w:r>
      <w:r>
        <w:t xml:space="preserve"> </w:t>
      </w:r>
      <w:r w:rsidRPr="00C057C7">
        <w:t>548</w:t>
      </w:r>
      <w:r>
        <w:t xml:space="preserve"> </w:t>
      </w:r>
      <w:r w:rsidRPr="00C057C7">
        <w:t>343</w:t>
      </w:r>
      <w:r w:rsidR="00DE2AA0">
        <w:t xml:space="preserve">, </w:t>
      </w:r>
      <w:hyperlink r:id="rId13" w:history="1">
        <w:r w:rsidR="00DE2AA0" w:rsidRPr="0035489B">
          <w:rPr>
            <w:rStyle w:val="Hyperlink"/>
          </w:rPr>
          <w:t>andrew.campion@harrow.gov.uk</w:t>
        </w:r>
      </w:hyperlink>
      <w:r w:rsidR="00DE2AA0">
        <w:t xml:space="preserve"> </w:t>
      </w:r>
    </w:p>
    <w:p w14:paraId="22B8FE85" w14:textId="77777777" w:rsidR="00777A17" w:rsidRDefault="00777A17" w:rsidP="00777A17">
      <w:pPr>
        <w:pStyle w:val="Infotext"/>
        <w:spacing w:after="240"/>
        <w:rPr>
          <w:b/>
        </w:rPr>
      </w:pPr>
      <w:r>
        <w:rPr>
          <w:b/>
        </w:rPr>
        <w:t xml:space="preserve">Background Papers:  </w:t>
      </w:r>
      <w:r w:rsidRPr="0091796C">
        <w:t>None</w:t>
      </w:r>
    </w:p>
    <w:p w14:paraId="2E08E938" w14:textId="77777777" w:rsidR="00777A17" w:rsidRDefault="00777A17" w:rsidP="00777A17">
      <w:pPr>
        <w:pStyle w:val="Infotext"/>
        <w:spacing w:before="480"/>
        <w:rPr>
          <w:rFonts w:ascii="Arial Black" w:hAnsi="Arial Black"/>
        </w:rPr>
      </w:pPr>
      <w:r>
        <w:rPr>
          <w:rFonts w:ascii="Arial Black" w:hAnsi="Arial Black"/>
        </w:rPr>
        <w:lastRenderedPageBreak/>
        <w:t>Call-in waived by the Chair of Overview and Scrutiny Committee</w:t>
      </w:r>
    </w:p>
    <w:p w14:paraId="24A2462F" w14:textId="50C7911C" w:rsidR="00777A17" w:rsidRDefault="00777A17" w:rsidP="00777A17">
      <w:pPr>
        <w:pStyle w:val="Infotext"/>
        <w:spacing w:before="240"/>
      </w:pPr>
      <w:r>
        <w:rPr>
          <w:b/>
        </w:rPr>
        <w:t xml:space="preserve">NO </w:t>
      </w:r>
    </w:p>
    <w:p w14:paraId="006B4E6C" w14:textId="77777777" w:rsidR="00777A17" w:rsidRDefault="00777A17" w:rsidP="00777A17">
      <w:pPr>
        <w:pStyle w:val="Infotext"/>
        <w:spacing w:before="240"/>
      </w:pPr>
    </w:p>
    <w:p w14:paraId="3A07E982" w14:textId="77777777" w:rsidR="00777A17" w:rsidRPr="00285485" w:rsidRDefault="00777A17" w:rsidP="00777A17">
      <w:pPr>
        <w:rPr>
          <w:b/>
        </w:rPr>
      </w:pPr>
    </w:p>
    <w:p w14:paraId="1B22588B" w14:textId="29554552" w:rsidR="00ED3AA7" w:rsidRDefault="00ED3AA7">
      <w:pPr>
        <w:rPr>
          <w:rFonts w:cs="Arial"/>
          <w:i/>
          <w:szCs w:val="24"/>
          <w:lang w:eastAsia="en-GB"/>
        </w:rPr>
      </w:pPr>
    </w:p>
    <w:p w14:paraId="55B29D0F" w14:textId="77777777" w:rsidR="00223B3A" w:rsidRDefault="00223B3A">
      <w:pPr>
        <w:rPr>
          <w:rFonts w:cs="Arial"/>
          <w:iCs/>
          <w:szCs w:val="24"/>
          <w:lang w:eastAsia="en-GB"/>
        </w:rPr>
      </w:pPr>
    </w:p>
    <w:tbl>
      <w:tblPr>
        <w:tblW w:w="5657" w:type="dxa"/>
        <w:tblCellMar>
          <w:left w:w="0" w:type="dxa"/>
          <w:right w:w="0" w:type="dxa"/>
        </w:tblCellMar>
        <w:tblLook w:val="04A0" w:firstRow="1" w:lastRow="0" w:firstColumn="1" w:lastColumn="0" w:noHBand="0" w:noVBand="1"/>
      </w:tblPr>
      <w:tblGrid>
        <w:gridCol w:w="5657"/>
      </w:tblGrid>
      <w:tr w:rsidR="006E47BC" w14:paraId="3E4D98C4" w14:textId="77777777" w:rsidTr="00CC2F2A">
        <w:trPr>
          <w:trHeight w:val="300"/>
        </w:trPr>
        <w:tc>
          <w:tcPr>
            <w:tcW w:w="5657" w:type="dxa"/>
            <w:noWrap/>
            <w:tcMar>
              <w:top w:w="0" w:type="dxa"/>
              <w:left w:w="108" w:type="dxa"/>
              <w:bottom w:w="0" w:type="dxa"/>
              <w:right w:w="108" w:type="dxa"/>
            </w:tcMar>
            <w:vAlign w:val="bottom"/>
          </w:tcPr>
          <w:p w14:paraId="568B6FD1" w14:textId="240A819C" w:rsidR="006E47BC" w:rsidRDefault="006E47BC">
            <w:pPr>
              <w:rPr>
                <w:rFonts w:ascii="Calibri" w:hAnsi="Calibri"/>
                <w:color w:val="000000"/>
                <w:sz w:val="22"/>
                <w:lang w:eastAsia="en-GB"/>
              </w:rPr>
            </w:pPr>
          </w:p>
        </w:tc>
      </w:tr>
      <w:tr w:rsidR="006E47BC" w14:paraId="58F150D3" w14:textId="77777777" w:rsidTr="00CC2F2A">
        <w:trPr>
          <w:trHeight w:val="300"/>
        </w:trPr>
        <w:tc>
          <w:tcPr>
            <w:tcW w:w="5657" w:type="dxa"/>
            <w:noWrap/>
            <w:tcMar>
              <w:top w:w="0" w:type="dxa"/>
              <w:left w:w="108" w:type="dxa"/>
              <w:bottom w:w="0" w:type="dxa"/>
              <w:right w:w="108" w:type="dxa"/>
            </w:tcMar>
            <w:vAlign w:val="bottom"/>
          </w:tcPr>
          <w:p w14:paraId="41EA6A00" w14:textId="421B0621" w:rsidR="006E47BC" w:rsidRDefault="006E47BC">
            <w:pPr>
              <w:rPr>
                <w:color w:val="000000"/>
                <w:lang w:eastAsia="en-GB"/>
              </w:rPr>
            </w:pPr>
          </w:p>
        </w:tc>
      </w:tr>
      <w:tr w:rsidR="006E47BC" w14:paraId="421D95C1" w14:textId="77777777" w:rsidTr="00CC2F2A">
        <w:trPr>
          <w:trHeight w:val="300"/>
        </w:trPr>
        <w:tc>
          <w:tcPr>
            <w:tcW w:w="5657" w:type="dxa"/>
            <w:noWrap/>
            <w:tcMar>
              <w:top w:w="0" w:type="dxa"/>
              <w:left w:w="108" w:type="dxa"/>
              <w:bottom w:w="0" w:type="dxa"/>
              <w:right w:w="108" w:type="dxa"/>
            </w:tcMar>
            <w:vAlign w:val="bottom"/>
          </w:tcPr>
          <w:p w14:paraId="3CB68BCA" w14:textId="21C70345" w:rsidR="006E47BC" w:rsidRDefault="006E47BC">
            <w:pPr>
              <w:rPr>
                <w:color w:val="000000"/>
                <w:lang w:eastAsia="en-GB"/>
              </w:rPr>
            </w:pPr>
          </w:p>
        </w:tc>
      </w:tr>
      <w:tr w:rsidR="006E47BC" w14:paraId="19581EFC" w14:textId="77777777" w:rsidTr="00CC2F2A">
        <w:trPr>
          <w:trHeight w:val="300"/>
        </w:trPr>
        <w:tc>
          <w:tcPr>
            <w:tcW w:w="5657" w:type="dxa"/>
            <w:noWrap/>
            <w:tcMar>
              <w:top w:w="0" w:type="dxa"/>
              <w:left w:w="108" w:type="dxa"/>
              <w:bottom w:w="0" w:type="dxa"/>
              <w:right w:w="108" w:type="dxa"/>
            </w:tcMar>
            <w:vAlign w:val="bottom"/>
          </w:tcPr>
          <w:p w14:paraId="0406F0FF" w14:textId="6AD53B64" w:rsidR="006E47BC" w:rsidRDefault="006E47BC">
            <w:pPr>
              <w:rPr>
                <w:color w:val="000000"/>
                <w:lang w:eastAsia="en-GB"/>
              </w:rPr>
            </w:pPr>
          </w:p>
        </w:tc>
      </w:tr>
      <w:tr w:rsidR="006E47BC" w14:paraId="53CC5989" w14:textId="77777777" w:rsidTr="00CC2F2A">
        <w:trPr>
          <w:trHeight w:val="300"/>
        </w:trPr>
        <w:tc>
          <w:tcPr>
            <w:tcW w:w="5657" w:type="dxa"/>
            <w:noWrap/>
            <w:tcMar>
              <w:top w:w="0" w:type="dxa"/>
              <w:left w:w="108" w:type="dxa"/>
              <w:bottom w:w="0" w:type="dxa"/>
              <w:right w:w="108" w:type="dxa"/>
            </w:tcMar>
            <w:vAlign w:val="bottom"/>
          </w:tcPr>
          <w:p w14:paraId="64A973CD" w14:textId="1154568E" w:rsidR="006E47BC" w:rsidRDefault="006E47BC">
            <w:pPr>
              <w:rPr>
                <w:color w:val="000000"/>
                <w:lang w:eastAsia="en-GB"/>
              </w:rPr>
            </w:pPr>
          </w:p>
        </w:tc>
      </w:tr>
      <w:tr w:rsidR="006E47BC" w14:paraId="7CB9FA5B" w14:textId="77777777" w:rsidTr="00CC2F2A">
        <w:trPr>
          <w:trHeight w:val="300"/>
        </w:trPr>
        <w:tc>
          <w:tcPr>
            <w:tcW w:w="5657" w:type="dxa"/>
            <w:noWrap/>
            <w:tcMar>
              <w:top w:w="0" w:type="dxa"/>
              <w:left w:w="108" w:type="dxa"/>
              <w:bottom w:w="0" w:type="dxa"/>
              <w:right w:w="108" w:type="dxa"/>
            </w:tcMar>
            <w:vAlign w:val="bottom"/>
          </w:tcPr>
          <w:p w14:paraId="6193C358" w14:textId="6B89365D" w:rsidR="006E47BC" w:rsidRDefault="006E47BC">
            <w:pPr>
              <w:rPr>
                <w:color w:val="000000"/>
                <w:lang w:eastAsia="en-GB"/>
              </w:rPr>
            </w:pPr>
          </w:p>
        </w:tc>
      </w:tr>
      <w:tr w:rsidR="006E47BC" w14:paraId="27FAEF32" w14:textId="77777777" w:rsidTr="00CC2F2A">
        <w:trPr>
          <w:trHeight w:val="300"/>
        </w:trPr>
        <w:tc>
          <w:tcPr>
            <w:tcW w:w="5657" w:type="dxa"/>
            <w:noWrap/>
            <w:tcMar>
              <w:top w:w="0" w:type="dxa"/>
              <w:left w:w="108" w:type="dxa"/>
              <w:bottom w:w="0" w:type="dxa"/>
              <w:right w:w="108" w:type="dxa"/>
            </w:tcMar>
            <w:vAlign w:val="bottom"/>
          </w:tcPr>
          <w:p w14:paraId="05C66AC6" w14:textId="09F77125" w:rsidR="006E47BC" w:rsidRDefault="006E47BC">
            <w:pPr>
              <w:rPr>
                <w:color w:val="000000"/>
                <w:lang w:eastAsia="en-GB"/>
              </w:rPr>
            </w:pPr>
          </w:p>
        </w:tc>
      </w:tr>
      <w:tr w:rsidR="006E47BC" w14:paraId="696D6B69" w14:textId="77777777" w:rsidTr="00CC2F2A">
        <w:trPr>
          <w:trHeight w:val="300"/>
        </w:trPr>
        <w:tc>
          <w:tcPr>
            <w:tcW w:w="5657" w:type="dxa"/>
            <w:noWrap/>
            <w:tcMar>
              <w:top w:w="0" w:type="dxa"/>
              <w:left w:w="108" w:type="dxa"/>
              <w:bottom w:w="0" w:type="dxa"/>
              <w:right w:w="108" w:type="dxa"/>
            </w:tcMar>
            <w:vAlign w:val="bottom"/>
          </w:tcPr>
          <w:p w14:paraId="60B70CA8" w14:textId="74BC4685" w:rsidR="006E47BC" w:rsidRDefault="006E47BC">
            <w:pPr>
              <w:rPr>
                <w:color w:val="000000"/>
                <w:lang w:eastAsia="en-GB"/>
              </w:rPr>
            </w:pPr>
          </w:p>
        </w:tc>
      </w:tr>
      <w:tr w:rsidR="006E47BC" w14:paraId="1971F880" w14:textId="77777777" w:rsidTr="00CC2F2A">
        <w:trPr>
          <w:trHeight w:val="300"/>
        </w:trPr>
        <w:tc>
          <w:tcPr>
            <w:tcW w:w="5657" w:type="dxa"/>
            <w:noWrap/>
            <w:tcMar>
              <w:top w:w="0" w:type="dxa"/>
              <w:left w:w="108" w:type="dxa"/>
              <w:bottom w:w="0" w:type="dxa"/>
              <w:right w:w="108" w:type="dxa"/>
            </w:tcMar>
            <w:vAlign w:val="bottom"/>
          </w:tcPr>
          <w:p w14:paraId="25BE87F1" w14:textId="75EA515A" w:rsidR="006E47BC" w:rsidRDefault="006E47BC">
            <w:pPr>
              <w:rPr>
                <w:color w:val="000000"/>
                <w:lang w:eastAsia="en-GB"/>
              </w:rPr>
            </w:pPr>
          </w:p>
        </w:tc>
      </w:tr>
    </w:tbl>
    <w:p w14:paraId="57FB1032" w14:textId="77777777" w:rsidR="00223B3A" w:rsidRDefault="00223B3A">
      <w:pPr>
        <w:rPr>
          <w:rFonts w:cs="Arial"/>
          <w:iCs/>
          <w:szCs w:val="24"/>
          <w:lang w:eastAsia="en-GB"/>
        </w:rPr>
      </w:pPr>
    </w:p>
    <w:sectPr w:rsidR="00223B3A" w:rsidSect="001614E0">
      <w:footerReference w:type="default" r:id="rId14"/>
      <w:footerReference w:type="firs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BB478" w14:textId="77777777" w:rsidR="00DE2AA0" w:rsidRDefault="00DE2AA0">
      <w:r>
        <w:separator/>
      </w:r>
    </w:p>
  </w:endnote>
  <w:endnote w:type="continuationSeparator" w:id="0">
    <w:p w14:paraId="09C9C68B" w14:textId="77777777" w:rsidR="00DE2AA0" w:rsidRDefault="00DE2AA0">
      <w:r>
        <w:continuationSeparator/>
      </w:r>
    </w:p>
  </w:endnote>
  <w:endnote w:type="continuationNotice" w:id="1">
    <w:p w14:paraId="50B7069F" w14:textId="77777777" w:rsidR="00DE2AA0" w:rsidRDefault="00DE2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TT4F92o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EC68" w14:textId="31F34F0C" w:rsidR="00DE2AA0" w:rsidRDefault="00DE2AA0">
    <w:pPr>
      <w:pStyle w:val="Footer"/>
      <w:jc w:val="center"/>
    </w:pPr>
  </w:p>
  <w:p w14:paraId="061D325C" w14:textId="77777777" w:rsidR="00DE2AA0" w:rsidRDefault="00DE2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412039"/>
      <w:docPartObj>
        <w:docPartGallery w:val="Page Numbers (Bottom of Page)"/>
        <w:docPartUnique/>
      </w:docPartObj>
    </w:sdtPr>
    <w:sdtEndPr>
      <w:rPr>
        <w:noProof/>
      </w:rPr>
    </w:sdtEndPr>
    <w:sdtContent>
      <w:p w14:paraId="79F7640C" w14:textId="26352221" w:rsidR="00DE2AA0" w:rsidRDefault="00DE2A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BA2D47" w14:textId="77777777" w:rsidR="00DE2AA0" w:rsidRPr="004F56C5" w:rsidRDefault="00DE2AA0"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14344" w14:textId="77777777" w:rsidR="00DE2AA0" w:rsidRDefault="00DE2AA0">
      <w:r>
        <w:separator/>
      </w:r>
    </w:p>
  </w:footnote>
  <w:footnote w:type="continuationSeparator" w:id="0">
    <w:p w14:paraId="3E26012C" w14:textId="77777777" w:rsidR="00DE2AA0" w:rsidRDefault="00DE2AA0">
      <w:r>
        <w:continuationSeparator/>
      </w:r>
    </w:p>
  </w:footnote>
  <w:footnote w:type="continuationNotice" w:id="1">
    <w:p w14:paraId="6D120C45" w14:textId="77777777" w:rsidR="00DE2AA0" w:rsidRDefault="00DE2A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13D"/>
    <w:multiLevelType w:val="multilevel"/>
    <w:tmpl w:val="083405EA"/>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C1631E"/>
    <w:multiLevelType w:val="hybridMultilevel"/>
    <w:tmpl w:val="98E88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F92CCA"/>
    <w:multiLevelType w:val="hybridMultilevel"/>
    <w:tmpl w:val="F5509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B048F6"/>
    <w:multiLevelType w:val="multilevel"/>
    <w:tmpl w:val="A23C4B7E"/>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01FB2"/>
    <w:multiLevelType w:val="hybridMultilevel"/>
    <w:tmpl w:val="5EE63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A36DB"/>
    <w:multiLevelType w:val="hybridMultilevel"/>
    <w:tmpl w:val="FBA2F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A4054E"/>
    <w:multiLevelType w:val="hybridMultilevel"/>
    <w:tmpl w:val="53BA88F6"/>
    <w:lvl w:ilvl="0" w:tplc="5C42A4FE">
      <w:start w:val="1"/>
      <w:numFmt w:val="decimal"/>
      <w:lvlText w:val="%1."/>
      <w:lvlJc w:val="left"/>
      <w:pPr>
        <w:ind w:left="1100"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7" w15:restartNumberingAfterBreak="0">
    <w:nsid w:val="13031882"/>
    <w:multiLevelType w:val="multilevel"/>
    <w:tmpl w:val="B58069E2"/>
    <w:lvl w:ilvl="0">
      <w:start w:val="2"/>
      <w:numFmt w:val="decimal"/>
      <w:lvlText w:val="%1"/>
      <w:lvlJc w:val="left"/>
      <w:pPr>
        <w:ind w:left="400" w:hanging="400"/>
      </w:pPr>
      <w:rPr>
        <w:rFonts w:hint="default"/>
        <w:b w:val="0"/>
        <w:sz w:val="24"/>
      </w:rPr>
    </w:lvl>
    <w:lvl w:ilvl="1">
      <w:start w:val="1"/>
      <w:numFmt w:val="decimal"/>
      <w:lvlText w:val="%1.%2"/>
      <w:lvlJc w:val="left"/>
      <w:pPr>
        <w:ind w:left="400" w:hanging="40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 w15:restartNumberingAfterBreak="0">
    <w:nsid w:val="13F1309B"/>
    <w:multiLevelType w:val="hybridMultilevel"/>
    <w:tmpl w:val="13748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24E1A"/>
    <w:multiLevelType w:val="multilevel"/>
    <w:tmpl w:val="A1407B34"/>
    <w:lvl w:ilvl="0">
      <w:start w:val="1"/>
      <w:numFmt w:val="decimal"/>
      <w:lvlText w:val="%1"/>
      <w:lvlJc w:val="left"/>
      <w:pPr>
        <w:ind w:left="705" w:hanging="705"/>
      </w:pPr>
      <w:rPr>
        <w:rFonts w:hint="default"/>
      </w:rPr>
    </w:lvl>
    <w:lvl w:ilvl="1">
      <w:start w:val="1"/>
      <w:numFmt w:val="decimal"/>
      <w:pStyle w:val="Level2"/>
      <w:lvlText w:val="%1.%2"/>
      <w:lvlJc w:val="left"/>
      <w:pPr>
        <w:ind w:left="705" w:hanging="705"/>
      </w:pPr>
      <w:rPr>
        <w:rFonts w:hint="default"/>
        <w:b/>
        <w:bCs/>
        <w:sz w:val="24"/>
        <w:szCs w:val="24"/>
      </w:rPr>
    </w:lvl>
    <w:lvl w:ilvl="2">
      <w:start w:val="1"/>
      <w:numFmt w:val="decimal"/>
      <w:pStyle w:val="Leve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0B04F9"/>
    <w:multiLevelType w:val="hybridMultilevel"/>
    <w:tmpl w:val="DE0AE9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D2DF6"/>
    <w:multiLevelType w:val="hybridMultilevel"/>
    <w:tmpl w:val="66EA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E2BB6"/>
    <w:multiLevelType w:val="hybridMultilevel"/>
    <w:tmpl w:val="19B21D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4ED17AB"/>
    <w:multiLevelType w:val="multilevel"/>
    <w:tmpl w:val="A23C4B7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BB02BF"/>
    <w:multiLevelType w:val="multilevel"/>
    <w:tmpl w:val="0A8C0242"/>
    <w:lvl w:ilvl="0">
      <w:start w:val="1"/>
      <w:numFmt w:val="decimal"/>
      <w:lvlText w:val="%1"/>
      <w:lvlJc w:val="left"/>
      <w:pPr>
        <w:ind w:left="1065" w:hanging="705"/>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AE759E"/>
    <w:multiLevelType w:val="hybridMultilevel"/>
    <w:tmpl w:val="C64E2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C60B4E"/>
    <w:multiLevelType w:val="multilevel"/>
    <w:tmpl w:val="A0AC97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F1C10"/>
    <w:multiLevelType w:val="hybridMultilevel"/>
    <w:tmpl w:val="8586E376"/>
    <w:lvl w:ilvl="0" w:tplc="B412AB0C">
      <w:numFmt w:val="bullet"/>
      <w:lvlText w:val="-"/>
      <w:lvlJc w:val="left"/>
      <w:pPr>
        <w:ind w:left="1358" w:hanging="360"/>
      </w:pPr>
      <w:rPr>
        <w:rFonts w:ascii="Arial" w:eastAsia="Times New Roman" w:hAnsi="Arial" w:cs="Arial"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20" w15:restartNumberingAfterBreak="0">
    <w:nsid w:val="3D3F5902"/>
    <w:multiLevelType w:val="multilevel"/>
    <w:tmpl w:val="EEF489E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2372F"/>
    <w:multiLevelType w:val="hybridMultilevel"/>
    <w:tmpl w:val="8D9AB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312A07"/>
    <w:multiLevelType w:val="hybridMultilevel"/>
    <w:tmpl w:val="6740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75453"/>
    <w:multiLevelType w:val="hybridMultilevel"/>
    <w:tmpl w:val="878A22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99A50A1"/>
    <w:multiLevelType w:val="multilevel"/>
    <w:tmpl w:val="0A363DC2"/>
    <w:lvl w:ilvl="0">
      <w:start w:val="1"/>
      <w:numFmt w:val="decimal"/>
      <w:lvlText w:val="%1."/>
      <w:lvlJc w:val="left"/>
      <w:pPr>
        <w:ind w:left="786" w:hanging="360"/>
      </w:pPr>
      <w:rPr>
        <w:rFonts w:hint="default"/>
        <w:color w:val="auto"/>
      </w:rPr>
    </w:lvl>
    <w:lvl w:ilvl="1">
      <w:start w:val="1"/>
      <w:numFmt w:val="decimal"/>
      <w:isLgl/>
      <w:lvlText w:val="%1.%2"/>
      <w:lvlJc w:val="left"/>
      <w:pPr>
        <w:ind w:left="765" w:hanging="405"/>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E152BA"/>
    <w:multiLevelType w:val="hybridMultilevel"/>
    <w:tmpl w:val="E146F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620C2B"/>
    <w:multiLevelType w:val="multilevel"/>
    <w:tmpl w:val="017680F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C6C7EA9"/>
    <w:multiLevelType w:val="hybridMultilevel"/>
    <w:tmpl w:val="1862A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2E3CA8"/>
    <w:multiLevelType w:val="hybridMultilevel"/>
    <w:tmpl w:val="8E88A27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B6BB1"/>
    <w:multiLevelType w:val="multilevel"/>
    <w:tmpl w:val="87EC0DA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1781095"/>
    <w:multiLevelType w:val="hybridMultilevel"/>
    <w:tmpl w:val="C8B67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D90A72"/>
    <w:multiLevelType w:val="hybridMultilevel"/>
    <w:tmpl w:val="6DCA6190"/>
    <w:lvl w:ilvl="0" w:tplc="2EA26790">
      <w:start w:val="1"/>
      <w:numFmt w:val="lowerLetter"/>
      <w:lvlText w:val="%1)"/>
      <w:lvlJc w:val="left"/>
      <w:pPr>
        <w:ind w:left="1069" w:hanging="36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3563543"/>
    <w:multiLevelType w:val="multilevel"/>
    <w:tmpl w:val="BC56CD32"/>
    <w:lvl w:ilvl="0">
      <w:start w:val="1"/>
      <w:numFmt w:val="decimal"/>
      <w:lvlText w:val="%1."/>
      <w:lvlJc w:val="left"/>
      <w:pPr>
        <w:ind w:left="720" w:hanging="360"/>
      </w:pPr>
      <w:rPr>
        <w:rFonts w:hint="default"/>
        <w:u w:val="none"/>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7A14A7"/>
    <w:multiLevelType w:val="hybridMultilevel"/>
    <w:tmpl w:val="097E63E6"/>
    <w:lvl w:ilvl="0" w:tplc="2AD0ED1C">
      <w:start w:val="13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932ED5"/>
    <w:multiLevelType w:val="hybridMultilevel"/>
    <w:tmpl w:val="B992A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A72D28"/>
    <w:multiLevelType w:val="hybridMultilevel"/>
    <w:tmpl w:val="44E8C81C"/>
    <w:lvl w:ilvl="0" w:tplc="EE46870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78173EE"/>
    <w:multiLevelType w:val="hybridMultilevel"/>
    <w:tmpl w:val="02442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1"/>
  </w:num>
  <w:num w:numId="3">
    <w:abstractNumId w:val="10"/>
  </w:num>
  <w:num w:numId="4">
    <w:abstractNumId w:val="31"/>
  </w:num>
  <w:num w:numId="5">
    <w:abstractNumId w:val="25"/>
  </w:num>
  <w:num w:numId="6">
    <w:abstractNumId w:val="36"/>
  </w:num>
  <w:num w:numId="7">
    <w:abstractNumId w:val="0"/>
  </w:num>
  <w:num w:numId="8">
    <w:abstractNumId w:val="26"/>
  </w:num>
  <w:num w:numId="9">
    <w:abstractNumId w:val="8"/>
  </w:num>
  <w:num w:numId="10">
    <w:abstractNumId w:val="2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8"/>
  </w:num>
  <w:num w:numId="14">
    <w:abstractNumId w:val="6"/>
  </w:num>
  <w:num w:numId="15">
    <w:abstractNumId w:val="14"/>
  </w:num>
  <w:num w:numId="16">
    <w:abstractNumId w:val="14"/>
  </w:num>
  <w:num w:numId="17">
    <w:abstractNumId w:val="11"/>
  </w:num>
  <w:num w:numId="18">
    <w:abstractNumId w:val="32"/>
  </w:num>
  <w:num w:numId="19">
    <w:abstractNumId w:val="2"/>
  </w:num>
  <w:num w:numId="20">
    <w:abstractNumId w:val="13"/>
  </w:num>
  <w:num w:numId="21">
    <w:abstractNumId w:val="9"/>
  </w:num>
  <w:num w:numId="22">
    <w:abstractNumId w:val="16"/>
  </w:num>
  <w:num w:numId="23">
    <w:abstractNumId w:val="35"/>
  </w:num>
  <w:num w:numId="24">
    <w:abstractNumId w:val="33"/>
  </w:num>
  <w:num w:numId="25">
    <w:abstractNumId w:val="4"/>
  </w:num>
  <w:num w:numId="26">
    <w:abstractNumId w:val="37"/>
  </w:num>
  <w:num w:numId="27">
    <w:abstractNumId w:val="1"/>
  </w:num>
  <w:num w:numId="28">
    <w:abstractNumId w:val="29"/>
  </w:num>
  <w:num w:numId="29">
    <w:abstractNumId w:val="24"/>
  </w:num>
  <w:num w:numId="30">
    <w:abstractNumId w:val="27"/>
  </w:num>
  <w:num w:numId="31">
    <w:abstractNumId w:val="17"/>
  </w:num>
  <w:num w:numId="32">
    <w:abstractNumId w:val="22"/>
  </w:num>
  <w:num w:numId="33">
    <w:abstractNumId w:val="5"/>
  </w:num>
  <w:num w:numId="34">
    <w:abstractNumId w:val="19"/>
  </w:num>
  <w:num w:numId="35">
    <w:abstractNumId w:val="7"/>
  </w:num>
  <w:num w:numId="36">
    <w:abstractNumId w:val="30"/>
  </w:num>
  <w:num w:numId="37">
    <w:abstractNumId w:val="20"/>
  </w:num>
  <w:num w:numId="38">
    <w:abstractNumId w:val="3"/>
  </w:num>
  <w:num w:numId="39">
    <w:abstractNumId w:val="15"/>
  </w:num>
  <w:num w:numId="40">
    <w:abstractNumId w:val="38"/>
  </w:num>
  <w:num w:numId="41">
    <w:abstractNumId w:val="34"/>
  </w:num>
  <w:num w:numId="42">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9DD"/>
    <w:rsid w:val="00006EB3"/>
    <w:rsid w:val="00010DE8"/>
    <w:rsid w:val="000112E3"/>
    <w:rsid w:val="00015647"/>
    <w:rsid w:val="000203B4"/>
    <w:rsid w:val="00020476"/>
    <w:rsid w:val="00021C2F"/>
    <w:rsid w:val="00023ABB"/>
    <w:rsid w:val="00024626"/>
    <w:rsid w:val="00024ABA"/>
    <w:rsid w:val="00026148"/>
    <w:rsid w:val="000266DC"/>
    <w:rsid w:val="00026D6E"/>
    <w:rsid w:val="0002707A"/>
    <w:rsid w:val="00032B06"/>
    <w:rsid w:val="00032CFD"/>
    <w:rsid w:val="000339A9"/>
    <w:rsid w:val="0003526D"/>
    <w:rsid w:val="00035CBA"/>
    <w:rsid w:val="00035DE8"/>
    <w:rsid w:val="000365CF"/>
    <w:rsid w:val="0003682A"/>
    <w:rsid w:val="00037882"/>
    <w:rsid w:val="00037894"/>
    <w:rsid w:val="0004029A"/>
    <w:rsid w:val="000421F0"/>
    <w:rsid w:val="00043EB9"/>
    <w:rsid w:val="000444A8"/>
    <w:rsid w:val="000474E3"/>
    <w:rsid w:val="0005012C"/>
    <w:rsid w:val="00054ADF"/>
    <w:rsid w:val="00055008"/>
    <w:rsid w:val="000575B8"/>
    <w:rsid w:val="00057F58"/>
    <w:rsid w:val="0006034E"/>
    <w:rsid w:val="0006127C"/>
    <w:rsid w:val="00062AC1"/>
    <w:rsid w:val="00063783"/>
    <w:rsid w:val="00063FA6"/>
    <w:rsid w:val="00064B59"/>
    <w:rsid w:val="00065452"/>
    <w:rsid w:val="00065B67"/>
    <w:rsid w:val="00067676"/>
    <w:rsid w:val="000710CA"/>
    <w:rsid w:val="00071179"/>
    <w:rsid w:val="00072AC4"/>
    <w:rsid w:val="00072D53"/>
    <w:rsid w:val="000735C1"/>
    <w:rsid w:val="00073765"/>
    <w:rsid w:val="00075A7A"/>
    <w:rsid w:val="0007792D"/>
    <w:rsid w:val="0008035F"/>
    <w:rsid w:val="0008197C"/>
    <w:rsid w:val="00083F85"/>
    <w:rsid w:val="00084FBF"/>
    <w:rsid w:val="00085DB9"/>
    <w:rsid w:val="00085FCE"/>
    <w:rsid w:val="0008631C"/>
    <w:rsid w:val="000913A5"/>
    <w:rsid w:val="00091E69"/>
    <w:rsid w:val="00092058"/>
    <w:rsid w:val="000929A6"/>
    <w:rsid w:val="00092B1F"/>
    <w:rsid w:val="000933D1"/>
    <w:rsid w:val="000953C7"/>
    <w:rsid w:val="00095572"/>
    <w:rsid w:val="00095AF4"/>
    <w:rsid w:val="00095E97"/>
    <w:rsid w:val="00095FA1"/>
    <w:rsid w:val="00096ADA"/>
    <w:rsid w:val="000A329D"/>
    <w:rsid w:val="000A6448"/>
    <w:rsid w:val="000A6B13"/>
    <w:rsid w:val="000A6F55"/>
    <w:rsid w:val="000B2658"/>
    <w:rsid w:val="000B3C06"/>
    <w:rsid w:val="000B4840"/>
    <w:rsid w:val="000B5015"/>
    <w:rsid w:val="000B57F0"/>
    <w:rsid w:val="000B5CCA"/>
    <w:rsid w:val="000B788F"/>
    <w:rsid w:val="000B7C66"/>
    <w:rsid w:val="000C02C3"/>
    <w:rsid w:val="000C2754"/>
    <w:rsid w:val="000C2A8E"/>
    <w:rsid w:val="000C3559"/>
    <w:rsid w:val="000C3D55"/>
    <w:rsid w:val="000C4090"/>
    <w:rsid w:val="000C50E3"/>
    <w:rsid w:val="000C546E"/>
    <w:rsid w:val="000C5A93"/>
    <w:rsid w:val="000C5B37"/>
    <w:rsid w:val="000C645C"/>
    <w:rsid w:val="000C6664"/>
    <w:rsid w:val="000C7155"/>
    <w:rsid w:val="000C7266"/>
    <w:rsid w:val="000C78F6"/>
    <w:rsid w:val="000D0F7F"/>
    <w:rsid w:val="000D1A53"/>
    <w:rsid w:val="000D4E36"/>
    <w:rsid w:val="000D58C0"/>
    <w:rsid w:val="000D5CD1"/>
    <w:rsid w:val="000D7D4C"/>
    <w:rsid w:val="000E1211"/>
    <w:rsid w:val="000E3EAE"/>
    <w:rsid w:val="000E4B27"/>
    <w:rsid w:val="000E5F31"/>
    <w:rsid w:val="000E62FE"/>
    <w:rsid w:val="000F0DD5"/>
    <w:rsid w:val="000F2D48"/>
    <w:rsid w:val="000F33C8"/>
    <w:rsid w:val="000F37BE"/>
    <w:rsid w:val="000F4935"/>
    <w:rsid w:val="000F4D59"/>
    <w:rsid w:val="000F630D"/>
    <w:rsid w:val="000F644F"/>
    <w:rsid w:val="000F7763"/>
    <w:rsid w:val="0010155E"/>
    <w:rsid w:val="001024A4"/>
    <w:rsid w:val="001029F2"/>
    <w:rsid w:val="00105B8A"/>
    <w:rsid w:val="001075B9"/>
    <w:rsid w:val="00110531"/>
    <w:rsid w:val="00110B0B"/>
    <w:rsid w:val="00112138"/>
    <w:rsid w:val="001148BB"/>
    <w:rsid w:val="001161E4"/>
    <w:rsid w:val="00117681"/>
    <w:rsid w:val="001222CA"/>
    <w:rsid w:val="00122B3B"/>
    <w:rsid w:val="00122E37"/>
    <w:rsid w:val="00123943"/>
    <w:rsid w:val="00123E20"/>
    <w:rsid w:val="0012432A"/>
    <w:rsid w:val="00125A26"/>
    <w:rsid w:val="0013043A"/>
    <w:rsid w:val="0013124B"/>
    <w:rsid w:val="00131499"/>
    <w:rsid w:val="00134FD2"/>
    <w:rsid w:val="00140B05"/>
    <w:rsid w:val="00141E70"/>
    <w:rsid w:val="0014349F"/>
    <w:rsid w:val="0014379E"/>
    <w:rsid w:val="001439FB"/>
    <w:rsid w:val="00147263"/>
    <w:rsid w:val="001472A8"/>
    <w:rsid w:val="001518C1"/>
    <w:rsid w:val="0015376F"/>
    <w:rsid w:val="00155BE4"/>
    <w:rsid w:val="00160C70"/>
    <w:rsid w:val="001614E0"/>
    <w:rsid w:val="001616FD"/>
    <w:rsid w:val="001620F0"/>
    <w:rsid w:val="001624C8"/>
    <w:rsid w:val="00163805"/>
    <w:rsid w:val="00163AD9"/>
    <w:rsid w:val="00164748"/>
    <w:rsid w:val="00170231"/>
    <w:rsid w:val="00170F35"/>
    <w:rsid w:val="00170F93"/>
    <w:rsid w:val="001712B4"/>
    <w:rsid w:val="00171BD8"/>
    <w:rsid w:val="00171EC3"/>
    <w:rsid w:val="00173C18"/>
    <w:rsid w:val="001740E4"/>
    <w:rsid w:val="00174FF6"/>
    <w:rsid w:val="0017641D"/>
    <w:rsid w:val="0017653E"/>
    <w:rsid w:val="0018045A"/>
    <w:rsid w:val="001828A4"/>
    <w:rsid w:val="00182B01"/>
    <w:rsid w:val="00182C31"/>
    <w:rsid w:val="0018357A"/>
    <w:rsid w:val="001840D2"/>
    <w:rsid w:val="00184AEC"/>
    <w:rsid w:val="001877B4"/>
    <w:rsid w:val="00187D9A"/>
    <w:rsid w:val="001918E3"/>
    <w:rsid w:val="0019395F"/>
    <w:rsid w:val="001966D7"/>
    <w:rsid w:val="001A0A9D"/>
    <w:rsid w:val="001A1267"/>
    <w:rsid w:val="001A4479"/>
    <w:rsid w:val="001A54FA"/>
    <w:rsid w:val="001A5539"/>
    <w:rsid w:val="001A685B"/>
    <w:rsid w:val="001A7D54"/>
    <w:rsid w:val="001B0643"/>
    <w:rsid w:val="001B06C0"/>
    <w:rsid w:val="001B0F70"/>
    <w:rsid w:val="001B12DE"/>
    <w:rsid w:val="001B240C"/>
    <w:rsid w:val="001B33D4"/>
    <w:rsid w:val="001B541A"/>
    <w:rsid w:val="001B5420"/>
    <w:rsid w:val="001B5487"/>
    <w:rsid w:val="001C01C7"/>
    <w:rsid w:val="001C0F81"/>
    <w:rsid w:val="001C41FE"/>
    <w:rsid w:val="001C4D2E"/>
    <w:rsid w:val="001C5B69"/>
    <w:rsid w:val="001C5F82"/>
    <w:rsid w:val="001C64C0"/>
    <w:rsid w:val="001C6CA3"/>
    <w:rsid w:val="001C7E35"/>
    <w:rsid w:val="001D018B"/>
    <w:rsid w:val="001D5DBA"/>
    <w:rsid w:val="001D7CA9"/>
    <w:rsid w:val="001E2216"/>
    <w:rsid w:val="001E251F"/>
    <w:rsid w:val="001E288D"/>
    <w:rsid w:val="001E30AF"/>
    <w:rsid w:val="001E3536"/>
    <w:rsid w:val="001E3C06"/>
    <w:rsid w:val="001E43C6"/>
    <w:rsid w:val="001E5B70"/>
    <w:rsid w:val="001E7CC6"/>
    <w:rsid w:val="001F0037"/>
    <w:rsid w:val="001F0BE9"/>
    <w:rsid w:val="001F0DB6"/>
    <w:rsid w:val="001F1E8B"/>
    <w:rsid w:val="001F3E27"/>
    <w:rsid w:val="001F4582"/>
    <w:rsid w:val="001F4EB0"/>
    <w:rsid w:val="001F560B"/>
    <w:rsid w:val="001F6C49"/>
    <w:rsid w:val="00200471"/>
    <w:rsid w:val="00201395"/>
    <w:rsid w:val="002021F7"/>
    <w:rsid w:val="00202D79"/>
    <w:rsid w:val="0020420F"/>
    <w:rsid w:val="00205D2F"/>
    <w:rsid w:val="00205DD4"/>
    <w:rsid w:val="00205DDA"/>
    <w:rsid w:val="002077AA"/>
    <w:rsid w:val="00211EBB"/>
    <w:rsid w:val="0021289F"/>
    <w:rsid w:val="002129D4"/>
    <w:rsid w:val="00213A10"/>
    <w:rsid w:val="0021589B"/>
    <w:rsid w:val="00215E8F"/>
    <w:rsid w:val="002162FE"/>
    <w:rsid w:val="002165F5"/>
    <w:rsid w:val="00216D01"/>
    <w:rsid w:val="002172B4"/>
    <w:rsid w:val="00217359"/>
    <w:rsid w:val="00217744"/>
    <w:rsid w:val="0022084F"/>
    <w:rsid w:val="00221A93"/>
    <w:rsid w:val="00221DC1"/>
    <w:rsid w:val="0022228A"/>
    <w:rsid w:val="002226A1"/>
    <w:rsid w:val="00222B1E"/>
    <w:rsid w:val="002231AB"/>
    <w:rsid w:val="00223B3A"/>
    <w:rsid w:val="00224E33"/>
    <w:rsid w:val="002259F7"/>
    <w:rsid w:val="002266D2"/>
    <w:rsid w:val="00230853"/>
    <w:rsid w:val="002322BB"/>
    <w:rsid w:val="002330CE"/>
    <w:rsid w:val="0023715A"/>
    <w:rsid w:val="0024027A"/>
    <w:rsid w:val="00240FCC"/>
    <w:rsid w:val="002415F9"/>
    <w:rsid w:val="00241F5B"/>
    <w:rsid w:val="0024259A"/>
    <w:rsid w:val="00242A49"/>
    <w:rsid w:val="00243D23"/>
    <w:rsid w:val="00244C61"/>
    <w:rsid w:val="00250126"/>
    <w:rsid w:val="00251254"/>
    <w:rsid w:val="0025251A"/>
    <w:rsid w:val="00252E00"/>
    <w:rsid w:val="002548D1"/>
    <w:rsid w:val="002562B0"/>
    <w:rsid w:val="002579C1"/>
    <w:rsid w:val="00260DC6"/>
    <w:rsid w:val="002612FF"/>
    <w:rsid w:val="002620D7"/>
    <w:rsid w:val="00262A9B"/>
    <w:rsid w:val="0026382F"/>
    <w:rsid w:val="002640AA"/>
    <w:rsid w:val="00264202"/>
    <w:rsid w:val="00264600"/>
    <w:rsid w:val="0026462A"/>
    <w:rsid w:val="0026480C"/>
    <w:rsid w:val="00265490"/>
    <w:rsid w:val="00265C79"/>
    <w:rsid w:val="002674B5"/>
    <w:rsid w:val="002679EC"/>
    <w:rsid w:val="00267CBB"/>
    <w:rsid w:val="0027185B"/>
    <w:rsid w:val="00272668"/>
    <w:rsid w:val="0027283B"/>
    <w:rsid w:val="00273281"/>
    <w:rsid w:val="00273A5B"/>
    <w:rsid w:val="00275637"/>
    <w:rsid w:val="00276B1B"/>
    <w:rsid w:val="0028019B"/>
    <w:rsid w:val="00281663"/>
    <w:rsid w:val="00282E73"/>
    <w:rsid w:val="002839DD"/>
    <w:rsid w:val="00283CAB"/>
    <w:rsid w:val="00284BAE"/>
    <w:rsid w:val="0028525A"/>
    <w:rsid w:val="00285430"/>
    <w:rsid w:val="002873EA"/>
    <w:rsid w:val="00290CBE"/>
    <w:rsid w:val="00291F11"/>
    <w:rsid w:val="00292B30"/>
    <w:rsid w:val="002956A1"/>
    <w:rsid w:val="00295C0D"/>
    <w:rsid w:val="002A0566"/>
    <w:rsid w:val="002A378B"/>
    <w:rsid w:val="002A3B06"/>
    <w:rsid w:val="002A3E8F"/>
    <w:rsid w:val="002A3FEF"/>
    <w:rsid w:val="002A4536"/>
    <w:rsid w:val="002A4C14"/>
    <w:rsid w:val="002A7210"/>
    <w:rsid w:val="002A7A0C"/>
    <w:rsid w:val="002A7AC1"/>
    <w:rsid w:val="002A7BE0"/>
    <w:rsid w:val="002B15D0"/>
    <w:rsid w:val="002B1BC9"/>
    <w:rsid w:val="002B3325"/>
    <w:rsid w:val="002B54A6"/>
    <w:rsid w:val="002B6590"/>
    <w:rsid w:val="002B7001"/>
    <w:rsid w:val="002B7667"/>
    <w:rsid w:val="002B7DFC"/>
    <w:rsid w:val="002C016C"/>
    <w:rsid w:val="002C3A35"/>
    <w:rsid w:val="002C3B89"/>
    <w:rsid w:val="002C4229"/>
    <w:rsid w:val="002C467F"/>
    <w:rsid w:val="002C49FB"/>
    <w:rsid w:val="002C5732"/>
    <w:rsid w:val="002C5800"/>
    <w:rsid w:val="002C5EB6"/>
    <w:rsid w:val="002C620B"/>
    <w:rsid w:val="002C7970"/>
    <w:rsid w:val="002D0022"/>
    <w:rsid w:val="002D156D"/>
    <w:rsid w:val="002D1686"/>
    <w:rsid w:val="002D288C"/>
    <w:rsid w:val="002D3BD8"/>
    <w:rsid w:val="002D7021"/>
    <w:rsid w:val="002E274E"/>
    <w:rsid w:val="002E5331"/>
    <w:rsid w:val="002E5888"/>
    <w:rsid w:val="002E7201"/>
    <w:rsid w:val="002E7A2E"/>
    <w:rsid w:val="002F166C"/>
    <w:rsid w:val="002F3EE9"/>
    <w:rsid w:val="002F4400"/>
    <w:rsid w:val="002F6CE3"/>
    <w:rsid w:val="00303EC7"/>
    <w:rsid w:val="003041E7"/>
    <w:rsid w:val="0030620E"/>
    <w:rsid w:val="0030753F"/>
    <w:rsid w:val="00307692"/>
    <w:rsid w:val="00307F76"/>
    <w:rsid w:val="003109C0"/>
    <w:rsid w:val="003110FE"/>
    <w:rsid w:val="003116C5"/>
    <w:rsid w:val="003117F9"/>
    <w:rsid w:val="00311D40"/>
    <w:rsid w:val="00315FA8"/>
    <w:rsid w:val="003174E7"/>
    <w:rsid w:val="00320CD8"/>
    <w:rsid w:val="003214CD"/>
    <w:rsid w:val="00321FBB"/>
    <w:rsid w:val="00322307"/>
    <w:rsid w:val="0032664C"/>
    <w:rsid w:val="003269C1"/>
    <w:rsid w:val="003277C3"/>
    <w:rsid w:val="00330832"/>
    <w:rsid w:val="003311C7"/>
    <w:rsid w:val="003313EA"/>
    <w:rsid w:val="00331F1C"/>
    <w:rsid w:val="00332A16"/>
    <w:rsid w:val="00333FAA"/>
    <w:rsid w:val="003355D7"/>
    <w:rsid w:val="00335DE4"/>
    <w:rsid w:val="00336F03"/>
    <w:rsid w:val="00337307"/>
    <w:rsid w:val="00341DDC"/>
    <w:rsid w:val="00343B7F"/>
    <w:rsid w:val="00344B19"/>
    <w:rsid w:val="003476FD"/>
    <w:rsid w:val="00350243"/>
    <w:rsid w:val="003502F8"/>
    <w:rsid w:val="00351393"/>
    <w:rsid w:val="0035402E"/>
    <w:rsid w:val="003560F2"/>
    <w:rsid w:val="00356772"/>
    <w:rsid w:val="0035740D"/>
    <w:rsid w:val="00357574"/>
    <w:rsid w:val="00357D87"/>
    <w:rsid w:val="0036201C"/>
    <w:rsid w:val="003621CF"/>
    <w:rsid w:val="003633B5"/>
    <w:rsid w:val="00363A8A"/>
    <w:rsid w:val="0037319B"/>
    <w:rsid w:val="00373B0E"/>
    <w:rsid w:val="00375E30"/>
    <w:rsid w:val="00375F72"/>
    <w:rsid w:val="00376768"/>
    <w:rsid w:val="00380E13"/>
    <w:rsid w:val="00380F87"/>
    <w:rsid w:val="00382805"/>
    <w:rsid w:val="00385F49"/>
    <w:rsid w:val="00387EDF"/>
    <w:rsid w:val="003911F9"/>
    <w:rsid w:val="003920C4"/>
    <w:rsid w:val="00392423"/>
    <w:rsid w:val="00392456"/>
    <w:rsid w:val="00393171"/>
    <w:rsid w:val="00394252"/>
    <w:rsid w:val="00394312"/>
    <w:rsid w:val="003A435E"/>
    <w:rsid w:val="003A60EA"/>
    <w:rsid w:val="003A691C"/>
    <w:rsid w:val="003A6EBD"/>
    <w:rsid w:val="003B0123"/>
    <w:rsid w:val="003B0164"/>
    <w:rsid w:val="003B1468"/>
    <w:rsid w:val="003B3AE7"/>
    <w:rsid w:val="003B3B45"/>
    <w:rsid w:val="003B5C34"/>
    <w:rsid w:val="003C0E7F"/>
    <w:rsid w:val="003C1538"/>
    <w:rsid w:val="003C1C62"/>
    <w:rsid w:val="003C270D"/>
    <w:rsid w:val="003C5140"/>
    <w:rsid w:val="003C64EE"/>
    <w:rsid w:val="003D353C"/>
    <w:rsid w:val="003D3728"/>
    <w:rsid w:val="003D43A7"/>
    <w:rsid w:val="003D46B3"/>
    <w:rsid w:val="003D4B07"/>
    <w:rsid w:val="003D634D"/>
    <w:rsid w:val="003D6AEF"/>
    <w:rsid w:val="003D7FA8"/>
    <w:rsid w:val="003E11B3"/>
    <w:rsid w:val="003E24C1"/>
    <w:rsid w:val="003E3363"/>
    <w:rsid w:val="003E6BAB"/>
    <w:rsid w:val="003E6DBA"/>
    <w:rsid w:val="003E6F30"/>
    <w:rsid w:val="003F1D9D"/>
    <w:rsid w:val="003F1F0C"/>
    <w:rsid w:val="003F200F"/>
    <w:rsid w:val="003F2362"/>
    <w:rsid w:val="003F3AFD"/>
    <w:rsid w:val="003F4324"/>
    <w:rsid w:val="003F44F2"/>
    <w:rsid w:val="003F6E16"/>
    <w:rsid w:val="003F740B"/>
    <w:rsid w:val="003F7421"/>
    <w:rsid w:val="003F7CD5"/>
    <w:rsid w:val="0040091B"/>
    <w:rsid w:val="00400A9A"/>
    <w:rsid w:val="004063BC"/>
    <w:rsid w:val="004076C8"/>
    <w:rsid w:val="00407980"/>
    <w:rsid w:val="00407A55"/>
    <w:rsid w:val="00410A58"/>
    <w:rsid w:val="00410F6E"/>
    <w:rsid w:val="00412692"/>
    <w:rsid w:val="00412C43"/>
    <w:rsid w:val="004135F2"/>
    <w:rsid w:val="004137C1"/>
    <w:rsid w:val="00413890"/>
    <w:rsid w:val="00414778"/>
    <w:rsid w:val="004170A1"/>
    <w:rsid w:val="00417AA3"/>
    <w:rsid w:val="004207E3"/>
    <w:rsid w:val="00421A4C"/>
    <w:rsid w:val="004238C2"/>
    <w:rsid w:val="004261E4"/>
    <w:rsid w:val="00427B0C"/>
    <w:rsid w:val="00432B94"/>
    <w:rsid w:val="00434360"/>
    <w:rsid w:val="0043454A"/>
    <w:rsid w:val="004355BC"/>
    <w:rsid w:val="00435697"/>
    <w:rsid w:val="00435A25"/>
    <w:rsid w:val="00435B5D"/>
    <w:rsid w:val="004363F7"/>
    <w:rsid w:val="004404BA"/>
    <w:rsid w:val="00442311"/>
    <w:rsid w:val="00442734"/>
    <w:rsid w:val="00442962"/>
    <w:rsid w:val="00443205"/>
    <w:rsid w:val="00443E6C"/>
    <w:rsid w:val="004442EE"/>
    <w:rsid w:val="004448C7"/>
    <w:rsid w:val="00444EC9"/>
    <w:rsid w:val="0044525C"/>
    <w:rsid w:val="00447CDC"/>
    <w:rsid w:val="004503B8"/>
    <w:rsid w:val="0045139D"/>
    <w:rsid w:val="004518DD"/>
    <w:rsid w:val="00453C36"/>
    <w:rsid w:val="004546BC"/>
    <w:rsid w:val="004553F1"/>
    <w:rsid w:val="00456469"/>
    <w:rsid w:val="00456824"/>
    <w:rsid w:val="004609E7"/>
    <w:rsid w:val="00463347"/>
    <w:rsid w:val="0046421C"/>
    <w:rsid w:val="004652AA"/>
    <w:rsid w:val="00466A2D"/>
    <w:rsid w:val="004705B5"/>
    <w:rsid w:val="00471C1F"/>
    <w:rsid w:val="00473015"/>
    <w:rsid w:val="00473548"/>
    <w:rsid w:val="00474349"/>
    <w:rsid w:val="00474DFA"/>
    <w:rsid w:val="004763FB"/>
    <w:rsid w:val="00476726"/>
    <w:rsid w:val="00476CF9"/>
    <w:rsid w:val="0047737D"/>
    <w:rsid w:val="00480600"/>
    <w:rsid w:val="004807FA"/>
    <w:rsid w:val="004809FA"/>
    <w:rsid w:val="00481737"/>
    <w:rsid w:val="004822B6"/>
    <w:rsid w:val="00482B9B"/>
    <w:rsid w:val="00482FDE"/>
    <w:rsid w:val="004838D5"/>
    <w:rsid w:val="00483C47"/>
    <w:rsid w:val="00485257"/>
    <w:rsid w:val="0048531A"/>
    <w:rsid w:val="00485B3F"/>
    <w:rsid w:val="0048615A"/>
    <w:rsid w:val="00486639"/>
    <w:rsid w:val="004866F4"/>
    <w:rsid w:val="004871FC"/>
    <w:rsid w:val="00487209"/>
    <w:rsid w:val="004873F4"/>
    <w:rsid w:val="0049009E"/>
    <w:rsid w:val="00490228"/>
    <w:rsid w:val="004910CF"/>
    <w:rsid w:val="00492535"/>
    <w:rsid w:val="004949E8"/>
    <w:rsid w:val="0049541E"/>
    <w:rsid w:val="004955CE"/>
    <w:rsid w:val="00496BBF"/>
    <w:rsid w:val="00496F19"/>
    <w:rsid w:val="004A38E6"/>
    <w:rsid w:val="004A57AF"/>
    <w:rsid w:val="004A5C55"/>
    <w:rsid w:val="004A66D0"/>
    <w:rsid w:val="004B199F"/>
    <w:rsid w:val="004B2CDF"/>
    <w:rsid w:val="004B3BC7"/>
    <w:rsid w:val="004B603A"/>
    <w:rsid w:val="004C03A0"/>
    <w:rsid w:val="004C0918"/>
    <w:rsid w:val="004C2089"/>
    <w:rsid w:val="004C2BE3"/>
    <w:rsid w:val="004C2D09"/>
    <w:rsid w:val="004C2DB5"/>
    <w:rsid w:val="004C423E"/>
    <w:rsid w:val="004C4A75"/>
    <w:rsid w:val="004C5C1C"/>
    <w:rsid w:val="004C5F23"/>
    <w:rsid w:val="004D25DD"/>
    <w:rsid w:val="004D2DA0"/>
    <w:rsid w:val="004D4201"/>
    <w:rsid w:val="004D48C1"/>
    <w:rsid w:val="004D51FC"/>
    <w:rsid w:val="004E14A4"/>
    <w:rsid w:val="004E1627"/>
    <w:rsid w:val="004E1BE8"/>
    <w:rsid w:val="004E34C3"/>
    <w:rsid w:val="004E38B7"/>
    <w:rsid w:val="004E4431"/>
    <w:rsid w:val="004E5934"/>
    <w:rsid w:val="004E76BC"/>
    <w:rsid w:val="004F015B"/>
    <w:rsid w:val="004F199F"/>
    <w:rsid w:val="004F2B04"/>
    <w:rsid w:val="004F54BD"/>
    <w:rsid w:val="004F56C5"/>
    <w:rsid w:val="004F7331"/>
    <w:rsid w:val="0050075C"/>
    <w:rsid w:val="00503A5C"/>
    <w:rsid w:val="00504BF5"/>
    <w:rsid w:val="00506185"/>
    <w:rsid w:val="00506856"/>
    <w:rsid w:val="005075BC"/>
    <w:rsid w:val="00507A63"/>
    <w:rsid w:val="00511837"/>
    <w:rsid w:val="00511B06"/>
    <w:rsid w:val="00511D7F"/>
    <w:rsid w:val="00511E9A"/>
    <w:rsid w:val="005122A0"/>
    <w:rsid w:val="00513E9E"/>
    <w:rsid w:val="0051537C"/>
    <w:rsid w:val="00516FE9"/>
    <w:rsid w:val="0051774A"/>
    <w:rsid w:val="00520D55"/>
    <w:rsid w:val="005223C1"/>
    <w:rsid w:val="00522400"/>
    <w:rsid w:val="00522511"/>
    <w:rsid w:val="00523567"/>
    <w:rsid w:val="00524240"/>
    <w:rsid w:val="0052480A"/>
    <w:rsid w:val="00524FA7"/>
    <w:rsid w:val="00525A85"/>
    <w:rsid w:val="00526552"/>
    <w:rsid w:val="00526A08"/>
    <w:rsid w:val="005275FE"/>
    <w:rsid w:val="00530FC7"/>
    <w:rsid w:val="0053174C"/>
    <w:rsid w:val="00533248"/>
    <w:rsid w:val="00533461"/>
    <w:rsid w:val="005344B4"/>
    <w:rsid w:val="00534A83"/>
    <w:rsid w:val="00534FE1"/>
    <w:rsid w:val="005354D0"/>
    <w:rsid w:val="00535589"/>
    <w:rsid w:val="0053633F"/>
    <w:rsid w:val="00537719"/>
    <w:rsid w:val="005402D9"/>
    <w:rsid w:val="0054106A"/>
    <w:rsid w:val="0054172C"/>
    <w:rsid w:val="00541830"/>
    <w:rsid w:val="0054282A"/>
    <w:rsid w:val="005431BC"/>
    <w:rsid w:val="00543248"/>
    <w:rsid w:val="0054373E"/>
    <w:rsid w:val="00543886"/>
    <w:rsid w:val="00543D2F"/>
    <w:rsid w:val="00543E25"/>
    <w:rsid w:val="00544486"/>
    <w:rsid w:val="005446EB"/>
    <w:rsid w:val="0054515F"/>
    <w:rsid w:val="0054590F"/>
    <w:rsid w:val="005459EC"/>
    <w:rsid w:val="005464DC"/>
    <w:rsid w:val="005465AD"/>
    <w:rsid w:val="00546B0B"/>
    <w:rsid w:val="0055066A"/>
    <w:rsid w:val="0055183B"/>
    <w:rsid w:val="005543E2"/>
    <w:rsid w:val="00554F01"/>
    <w:rsid w:val="00555B4E"/>
    <w:rsid w:val="0055713A"/>
    <w:rsid w:val="00560DA3"/>
    <w:rsid w:val="00562CD5"/>
    <w:rsid w:val="005632B6"/>
    <w:rsid w:val="00563EA4"/>
    <w:rsid w:val="00567164"/>
    <w:rsid w:val="005676FB"/>
    <w:rsid w:val="00567CD5"/>
    <w:rsid w:val="00570E9D"/>
    <w:rsid w:val="005718B5"/>
    <w:rsid w:val="00571952"/>
    <w:rsid w:val="005742A1"/>
    <w:rsid w:val="00574DD1"/>
    <w:rsid w:val="00574FD0"/>
    <w:rsid w:val="005770B7"/>
    <w:rsid w:val="005776CC"/>
    <w:rsid w:val="00577D89"/>
    <w:rsid w:val="00577DAA"/>
    <w:rsid w:val="005808FB"/>
    <w:rsid w:val="00580E9A"/>
    <w:rsid w:val="005811F8"/>
    <w:rsid w:val="005815F1"/>
    <w:rsid w:val="00581B4A"/>
    <w:rsid w:val="00582605"/>
    <w:rsid w:val="005828E4"/>
    <w:rsid w:val="0058354A"/>
    <w:rsid w:val="0058565D"/>
    <w:rsid w:val="005906B8"/>
    <w:rsid w:val="00590E7E"/>
    <w:rsid w:val="00591016"/>
    <w:rsid w:val="0059147A"/>
    <w:rsid w:val="00591D70"/>
    <w:rsid w:val="00591E51"/>
    <w:rsid w:val="00594165"/>
    <w:rsid w:val="0059630E"/>
    <w:rsid w:val="005966C4"/>
    <w:rsid w:val="00596B8F"/>
    <w:rsid w:val="005A1A1A"/>
    <w:rsid w:val="005A4D0A"/>
    <w:rsid w:val="005A620A"/>
    <w:rsid w:val="005A6641"/>
    <w:rsid w:val="005B1A6E"/>
    <w:rsid w:val="005B3F67"/>
    <w:rsid w:val="005B4062"/>
    <w:rsid w:val="005B750B"/>
    <w:rsid w:val="005B7FAD"/>
    <w:rsid w:val="005C0432"/>
    <w:rsid w:val="005C178C"/>
    <w:rsid w:val="005C30B7"/>
    <w:rsid w:val="005C3191"/>
    <w:rsid w:val="005C34B4"/>
    <w:rsid w:val="005C37E8"/>
    <w:rsid w:val="005C67BE"/>
    <w:rsid w:val="005C76BD"/>
    <w:rsid w:val="005D22B4"/>
    <w:rsid w:val="005D2CD8"/>
    <w:rsid w:val="005D2F5F"/>
    <w:rsid w:val="005D3050"/>
    <w:rsid w:val="005D3D9E"/>
    <w:rsid w:val="005D4631"/>
    <w:rsid w:val="005D5428"/>
    <w:rsid w:val="005D548F"/>
    <w:rsid w:val="005D6EF5"/>
    <w:rsid w:val="005D722C"/>
    <w:rsid w:val="005D77B8"/>
    <w:rsid w:val="005E1C0A"/>
    <w:rsid w:val="005E1D63"/>
    <w:rsid w:val="005E3A10"/>
    <w:rsid w:val="005E3CEC"/>
    <w:rsid w:val="005E5147"/>
    <w:rsid w:val="005E700E"/>
    <w:rsid w:val="005E7509"/>
    <w:rsid w:val="005E7FDA"/>
    <w:rsid w:val="005F094E"/>
    <w:rsid w:val="005F3055"/>
    <w:rsid w:val="005F3F45"/>
    <w:rsid w:val="005F5D65"/>
    <w:rsid w:val="005F5D9B"/>
    <w:rsid w:val="005F7996"/>
    <w:rsid w:val="006003F1"/>
    <w:rsid w:val="00601D7F"/>
    <w:rsid w:val="006027B0"/>
    <w:rsid w:val="00602AED"/>
    <w:rsid w:val="00603366"/>
    <w:rsid w:val="00603A54"/>
    <w:rsid w:val="006049C6"/>
    <w:rsid w:val="00605A4C"/>
    <w:rsid w:val="00606018"/>
    <w:rsid w:val="00606FAA"/>
    <w:rsid w:val="00607905"/>
    <w:rsid w:val="00610099"/>
    <w:rsid w:val="006134DA"/>
    <w:rsid w:val="00614040"/>
    <w:rsid w:val="00614DFE"/>
    <w:rsid w:val="00617B0E"/>
    <w:rsid w:val="00620202"/>
    <w:rsid w:val="00622DB4"/>
    <w:rsid w:val="006235D7"/>
    <w:rsid w:val="0062673E"/>
    <w:rsid w:val="00626CFE"/>
    <w:rsid w:val="00626FC9"/>
    <w:rsid w:val="006278F7"/>
    <w:rsid w:val="006331A8"/>
    <w:rsid w:val="00633939"/>
    <w:rsid w:val="00633AC2"/>
    <w:rsid w:val="00636137"/>
    <w:rsid w:val="00641E98"/>
    <w:rsid w:val="00641F5A"/>
    <w:rsid w:val="00642C4E"/>
    <w:rsid w:val="00643945"/>
    <w:rsid w:val="00644F95"/>
    <w:rsid w:val="00645B8B"/>
    <w:rsid w:val="00647ADB"/>
    <w:rsid w:val="00651E77"/>
    <w:rsid w:val="00653B9C"/>
    <w:rsid w:val="0065400C"/>
    <w:rsid w:val="00655044"/>
    <w:rsid w:val="00661600"/>
    <w:rsid w:val="006623D3"/>
    <w:rsid w:val="00666922"/>
    <w:rsid w:val="00670F17"/>
    <w:rsid w:val="006710C7"/>
    <w:rsid w:val="0067176F"/>
    <w:rsid w:val="00671B50"/>
    <w:rsid w:val="00673424"/>
    <w:rsid w:val="0067569D"/>
    <w:rsid w:val="006759F6"/>
    <w:rsid w:val="00676B14"/>
    <w:rsid w:val="00677688"/>
    <w:rsid w:val="006779A8"/>
    <w:rsid w:val="00677D30"/>
    <w:rsid w:val="00680299"/>
    <w:rsid w:val="0068523F"/>
    <w:rsid w:val="00685D14"/>
    <w:rsid w:val="006937D1"/>
    <w:rsid w:val="00694BA5"/>
    <w:rsid w:val="0069577D"/>
    <w:rsid w:val="00695C63"/>
    <w:rsid w:val="00695F6C"/>
    <w:rsid w:val="00696A83"/>
    <w:rsid w:val="00696FDA"/>
    <w:rsid w:val="0069735A"/>
    <w:rsid w:val="006A2658"/>
    <w:rsid w:val="006A3216"/>
    <w:rsid w:val="006A3A03"/>
    <w:rsid w:val="006A56EA"/>
    <w:rsid w:val="006A66F7"/>
    <w:rsid w:val="006A7B70"/>
    <w:rsid w:val="006B0D69"/>
    <w:rsid w:val="006B2957"/>
    <w:rsid w:val="006B3555"/>
    <w:rsid w:val="006B62A3"/>
    <w:rsid w:val="006B68F2"/>
    <w:rsid w:val="006B6C2C"/>
    <w:rsid w:val="006B7759"/>
    <w:rsid w:val="006C013A"/>
    <w:rsid w:val="006C118E"/>
    <w:rsid w:val="006C193E"/>
    <w:rsid w:val="006C211D"/>
    <w:rsid w:val="006C3611"/>
    <w:rsid w:val="006C3CF1"/>
    <w:rsid w:val="006C3D93"/>
    <w:rsid w:val="006C580A"/>
    <w:rsid w:val="006C6566"/>
    <w:rsid w:val="006C779B"/>
    <w:rsid w:val="006C7824"/>
    <w:rsid w:val="006C7BE5"/>
    <w:rsid w:val="006D10CC"/>
    <w:rsid w:val="006D15F0"/>
    <w:rsid w:val="006D1C5F"/>
    <w:rsid w:val="006D1E69"/>
    <w:rsid w:val="006D2AB0"/>
    <w:rsid w:val="006D2C41"/>
    <w:rsid w:val="006D385B"/>
    <w:rsid w:val="006E034A"/>
    <w:rsid w:val="006E3877"/>
    <w:rsid w:val="006E47BC"/>
    <w:rsid w:val="006E67CD"/>
    <w:rsid w:val="006E67EC"/>
    <w:rsid w:val="006F057C"/>
    <w:rsid w:val="006F0A50"/>
    <w:rsid w:val="006F14DE"/>
    <w:rsid w:val="006F22DA"/>
    <w:rsid w:val="006F2B56"/>
    <w:rsid w:val="006F2EB3"/>
    <w:rsid w:val="006F3076"/>
    <w:rsid w:val="006F7A9D"/>
    <w:rsid w:val="00700FB8"/>
    <w:rsid w:val="00701417"/>
    <w:rsid w:val="00702A29"/>
    <w:rsid w:val="00702E3B"/>
    <w:rsid w:val="00704C76"/>
    <w:rsid w:val="00707700"/>
    <w:rsid w:val="007116B1"/>
    <w:rsid w:val="00713DD1"/>
    <w:rsid w:val="0071426B"/>
    <w:rsid w:val="00714BEE"/>
    <w:rsid w:val="00715272"/>
    <w:rsid w:val="0071732B"/>
    <w:rsid w:val="00721215"/>
    <w:rsid w:val="0072128A"/>
    <w:rsid w:val="00721319"/>
    <w:rsid w:val="007220EC"/>
    <w:rsid w:val="00722330"/>
    <w:rsid w:val="00723534"/>
    <w:rsid w:val="007236A9"/>
    <w:rsid w:val="007246FE"/>
    <w:rsid w:val="0072758D"/>
    <w:rsid w:val="00727729"/>
    <w:rsid w:val="00731630"/>
    <w:rsid w:val="00733AA9"/>
    <w:rsid w:val="00734CB8"/>
    <w:rsid w:val="00736953"/>
    <w:rsid w:val="00737F3B"/>
    <w:rsid w:val="007400CF"/>
    <w:rsid w:val="00741056"/>
    <w:rsid w:val="00741084"/>
    <w:rsid w:val="007412D8"/>
    <w:rsid w:val="00743BFF"/>
    <w:rsid w:val="0074434A"/>
    <w:rsid w:val="0074457A"/>
    <w:rsid w:val="00744647"/>
    <w:rsid w:val="00744CFE"/>
    <w:rsid w:val="00745610"/>
    <w:rsid w:val="00745DF8"/>
    <w:rsid w:val="00745F10"/>
    <w:rsid w:val="00746559"/>
    <w:rsid w:val="0074748A"/>
    <w:rsid w:val="007521FD"/>
    <w:rsid w:val="007546F7"/>
    <w:rsid w:val="007602E3"/>
    <w:rsid w:val="00762288"/>
    <w:rsid w:val="00763A5A"/>
    <w:rsid w:val="0076485E"/>
    <w:rsid w:val="00764C50"/>
    <w:rsid w:val="00764DE7"/>
    <w:rsid w:val="00766101"/>
    <w:rsid w:val="00766DF8"/>
    <w:rsid w:val="00770B8E"/>
    <w:rsid w:val="007717CE"/>
    <w:rsid w:val="00774135"/>
    <w:rsid w:val="00774E4D"/>
    <w:rsid w:val="007750BB"/>
    <w:rsid w:val="00775664"/>
    <w:rsid w:val="00777A17"/>
    <w:rsid w:val="00780E3D"/>
    <w:rsid w:val="00780FF6"/>
    <w:rsid w:val="00781EE6"/>
    <w:rsid w:val="00782AC8"/>
    <w:rsid w:val="00782EEA"/>
    <w:rsid w:val="00787670"/>
    <w:rsid w:val="00791A21"/>
    <w:rsid w:val="0079303C"/>
    <w:rsid w:val="00793A69"/>
    <w:rsid w:val="0079585A"/>
    <w:rsid w:val="00795D73"/>
    <w:rsid w:val="00796F45"/>
    <w:rsid w:val="007A04CC"/>
    <w:rsid w:val="007A10CE"/>
    <w:rsid w:val="007A33F1"/>
    <w:rsid w:val="007A366E"/>
    <w:rsid w:val="007A5281"/>
    <w:rsid w:val="007A62CD"/>
    <w:rsid w:val="007B01C0"/>
    <w:rsid w:val="007B23AE"/>
    <w:rsid w:val="007B23FC"/>
    <w:rsid w:val="007B2E2A"/>
    <w:rsid w:val="007B2E97"/>
    <w:rsid w:val="007B47B1"/>
    <w:rsid w:val="007B7255"/>
    <w:rsid w:val="007B73E8"/>
    <w:rsid w:val="007B79D3"/>
    <w:rsid w:val="007C153C"/>
    <w:rsid w:val="007C1AEE"/>
    <w:rsid w:val="007C1E46"/>
    <w:rsid w:val="007C29E8"/>
    <w:rsid w:val="007C2D47"/>
    <w:rsid w:val="007C2D86"/>
    <w:rsid w:val="007C380A"/>
    <w:rsid w:val="007D0C1D"/>
    <w:rsid w:val="007D0DF8"/>
    <w:rsid w:val="007D1E25"/>
    <w:rsid w:val="007D2000"/>
    <w:rsid w:val="007D36DD"/>
    <w:rsid w:val="007D4DBF"/>
    <w:rsid w:val="007D5A79"/>
    <w:rsid w:val="007D63C0"/>
    <w:rsid w:val="007D76E9"/>
    <w:rsid w:val="007D77C6"/>
    <w:rsid w:val="007E049C"/>
    <w:rsid w:val="007E191C"/>
    <w:rsid w:val="007E28A6"/>
    <w:rsid w:val="007E4732"/>
    <w:rsid w:val="007E4BA4"/>
    <w:rsid w:val="007E4F20"/>
    <w:rsid w:val="007E57FC"/>
    <w:rsid w:val="007F004E"/>
    <w:rsid w:val="007F1212"/>
    <w:rsid w:val="007F335A"/>
    <w:rsid w:val="007F4E61"/>
    <w:rsid w:val="007F5F70"/>
    <w:rsid w:val="008002E9"/>
    <w:rsid w:val="00801188"/>
    <w:rsid w:val="00803104"/>
    <w:rsid w:val="008032B7"/>
    <w:rsid w:val="00804E54"/>
    <w:rsid w:val="00805342"/>
    <w:rsid w:val="00806152"/>
    <w:rsid w:val="00807F3D"/>
    <w:rsid w:val="0081034D"/>
    <w:rsid w:val="008109C9"/>
    <w:rsid w:val="00812901"/>
    <w:rsid w:val="008174F6"/>
    <w:rsid w:val="00821943"/>
    <w:rsid w:val="00821BE0"/>
    <w:rsid w:val="00822D25"/>
    <w:rsid w:val="008246B7"/>
    <w:rsid w:val="00824886"/>
    <w:rsid w:val="00826028"/>
    <w:rsid w:val="00826484"/>
    <w:rsid w:val="00826B9A"/>
    <w:rsid w:val="00826D1F"/>
    <w:rsid w:val="008277CC"/>
    <w:rsid w:val="00831525"/>
    <w:rsid w:val="008326D9"/>
    <w:rsid w:val="00832C61"/>
    <w:rsid w:val="00833138"/>
    <w:rsid w:val="00833C11"/>
    <w:rsid w:val="008342E1"/>
    <w:rsid w:val="0083569D"/>
    <w:rsid w:val="00835FDC"/>
    <w:rsid w:val="00836893"/>
    <w:rsid w:val="00840A6A"/>
    <w:rsid w:val="008417FF"/>
    <w:rsid w:val="00842757"/>
    <w:rsid w:val="00842AC3"/>
    <w:rsid w:val="00843246"/>
    <w:rsid w:val="00843CC2"/>
    <w:rsid w:val="008456EB"/>
    <w:rsid w:val="00846CDB"/>
    <w:rsid w:val="00847643"/>
    <w:rsid w:val="008509F4"/>
    <w:rsid w:val="00850FD8"/>
    <w:rsid w:val="0085266D"/>
    <w:rsid w:val="00852DA0"/>
    <w:rsid w:val="00855585"/>
    <w:rsid w:val="00855DBC"/>
    <w:rsid w:val="008570E0"/>
    <w:rsid w:val="0086281E"/>
    <w:rsid w:val="00862F7A"/>
    <w:rsid w:val="00863039"/>
    <w:rsid w:val="0086324C"/>
    <w:rsid w:val="0086579C"/>
    <w:rsid w:val="008661DA"/>
    <w:rsid w:val="008675F8"/>
    <w:rsid w:val="008702B9"/>
    <w:rsid w:val="00872D23"/>
    <w:rsid w:val="008754EF"/>
    <w:rsid w:val="00877E34"/>
    <w:rsid w:val="00880676"/>
    <w:rsid w:val="00883598"/>
    <w:rsid w:val="00883C52"/>
    <w:rsid w:val="00885660"/>
    <w:rsid w:val="00885FF6"/>
    <w:rsid w:val="00887B84"/>
    <w:rsid w:val="00887CCD"/>
    <w:rsid w:val="008937DE"/>
    <w:rsid w:val="00894A74"/>
    <w:rsid w:val="00895C77"/>
    <w:rsid w:val="008978FE"/>
    <w:rsid w:val="008A2896"/>
    <w:rsid w:val="008A39B7"/>
    <w:rsid w:val="008A59F2"/>
    <w:rsid w:val="008A5AA0"/>
    <w:rsid w:val="008A636B"/>
    <w:rsid w:val="008A6E52"/>
    <w:rsid w:val="008A74C9"/>
    <w:rsid w:val="008B0B42"/>
    <w:rsid w:val="008B11CD"/>
    <w:rsid w:val="008B3A12"/>
    <w:rsid w:val="008B4550"/>
    <w:rsid w:val="008B539D"/>
    <w:rsid w:val="008C12FD"/>
    <w:rsid w:val="008C20F2"/>
    <w:rsid w:val="008C273B"/>
    <w:rsid w:val="008C2E1C"/>
    <w:rsid w:val="008C4227"/>
    <w:rsid w:val="008C4DB2"/>
    <w:rsid w:val="008C6586"/>
    <w:rsid w:val="008C6BC1"/>
    <w:rsid w:val="008D2112"/>
    <w:rsid w:val="008D3516"/>
    <w:rsid w:val="008D36EB"/>
    <w:rsid w:val="008D3A03"/>
    <w:rsid w:val="008D3A17"/>
    <w:rsid w:val="008D3D68"/>
    <w:rsid w:val="008D4EF0"/>
    <w:rsid w:val="008D6D11"/>
    <w:rsid w:val="008D76C5"/>
    <w:rsid w:val="008D7981"/>
    <w:rsid w:val="008E224D"/>
    <w:rsid w:val="008E2D25"/>
    <w:rsid w:val="008E58AC"/>
    <w:rsid w:val="008E6E5C"/>
    <w:rsid w:val="008F20A3"/>
    <w:rsid w:val="008F3A84"/>
    <w:rsid w:val="008F42AA"/>
    <w:rsid w:val="008F663A"/>
    <w:rsid w:val="008F7440"/>
    <w:rsid w:val="008F7725"/>
    <w:rsid w:val="00900F9A"/>
    <w:rsid w:val="0090246D"/>
    <w:rsid w:val="0091067C"/>
    <w:rsid w:val="00912F26"/>
    <w:rsid w:val="00913A26"/>
    <w:rsid w:val="00915968"/>
    <w:rsid w:val="009166FA"/>
    <w:rsid w:val="0091729E"/>
    <w:rsid w:val="00920922"/>
    <w:rsid w:val="009222CA"/>
    <w:rsid w:val="00923BE6"/>
    <w:rsid w:val="0092530B"/>
    <w:rsid w:val="00925700"/>
    <w:rsid w:val="00925C01"/>
    <w:rsid w:val="00925E67"/>
    <w:rsid w:val="009270F6"/>
    <w:rsid w:val="009275B1"/>
    <w:rsid w:val="00927E5B"/>
    <w:rsid w:val="00931707"/>
    <w:rsid w:val="00932C14"/>
    <w:rsid w:val="00932FF6"/>
    <w:rsid w:val="00933A00"/>
    <w:rsid w:val="009341A6"/>
    <w:rsid w:val="00935C37"/>
    <w:rsid w:val="00935E02"/>
    <w:rsid w:val="00936E91"/>
    <w:rsid w:val="0094208C"/>
    <w:rsid w:val="009423B1"/>
    <w:rsid w:val="00942D7E"/>
    <w:rsid w:val="00942F17"/>
    <w:rsid w:val="00943236"/>
    <w:rsid w:val="00944A39"/>
    <w:rsid w:val="00945E7F"/>
    <w:rsid w:val="00946251"/>
    <w:rsid w:val="00946297"/>
    <w:rsid w:val="00946608"/>
    <w:rsid w:val="009469B6"/>
    <w:rsid w:val="00950291"/>
    <w:rsid w:val="00952CEF"/>
    <w:rsid w:val="0095395F"/>
    <w:rsid w:val="00954858"/>
    <w:rsid w:val="00955421"/>
    <w:rsid w:val="00955C37"/>
    <w:rsid w:val="0096105B"/>
    <w:rsid w:val="0096112B"/>
    <w:rsid w:val="00961634"/>
    <w:rsid w:val="0096171E"/>
    <w:rsid w:val="009651E4"/>
    <w:rsid w:val="00965CA0"/>
    <w:rsid w:val="00971B6C"/>
    <w:rsid w:val="009747F7"/>
    <w:rsid w:val="00974D1C"/>
    <w:rsid w:val="009759F2"/>
    <w:rsid w:val="00977D71"/>
    <w:rsid w:val="00980FD4"/>
    <w:rsid w:val="009823FD"/>
    <w:rsid w:val="00982548"/>
    <w:rsid w:val="00983E6A"/>
    <w:rsid w:val="009849D2"/>
    <w:rsid w:val="009856CF"/>
    <w:rsid w:val="0098606A"/>
    <w:rsid w:val="00986F10"/>
    <w:rsid w:val="00990E9C"/>
    <w:rsid w:val="0099132E"/>
    <w:rsid w:val="009928D9"/>
    <w:rsid w:val="00994542"/>
    <w:rsid w:val="00994908"/>
    <w:rsid w:val="00994D81"/>
    <w:rsid w:val="009965A5"/>
    <w:rsid w:val="009968C5"/>
    <w:rsid w:val="009A08CC"/>
    <w:rsid w:val="009A2E05"/>
    <w:rsid w:val="009A2E6C"/>
    <w:rsid w:val="009A3ED7"/>
    <w:rsid w:val="009A4B39"/>
    <w:rsid w:val="009B03F0"/>
    <w:rsid w:val="009B08FC"/>
    <w:rsid w:val="009B160B"/>
    <w:rsid w:val="009B2437"/>
    <w:rsid w:val="009B2956"/>
    <w:rsid w:val="009B33F3"/>
    <w:rsid w:val="009B36A5"/>
    <w:rsid w:val="009B627C"/>
    <w:rsid w:val="009B74D6"/>
    <w:rsid w:val="009C237B"/>
    <w:rsid w:val="009C4DD1"/>
    <w:rsid w:val="009C50E2"/>
    <w:rsid w:val="009C52CC"/>
    <w:rsid w:val="009C5AD5"/>
    <w:rsid w:val="009C6D20"/>
    <w:rsid w:val="009C72AC"/>
    <w:rsid w:val="009D019D"/>
    <w:rsid w:val="009D049B"/>
    <w:rsid w:val="009D089F"/>
    <w:rsid w:val="009D09DD"/>
    <w:rsid w:val="009D0BFE"/>
    <w:rsid w:val="009D0F5F"/>
    <w:rsid w:val="009D2060"/>
    <w:rsid w:val="009D3255"/>
    <w:rsid w:val="009D4AA9"/>
    <w:rsid w:val="009D4E0F"/>
    <w:rsid w:val="009D505A"/>
    <w:rsid w:val="009D6630"/>
    <w:rsid w:val="009E1408"/>
    <w:rsid w:val="009E1D68"/>
    <w:rsid w:val="009E2927"/>
    <w:rsid w:val="009E5A93"/>
    <w:rsid w:val="009E5FFE"/>
    <w:rsid w:val="009F1819"/>
    <w:rsid w:val="009F274D"/>
    <w:rsid w:val="009F3154"/>
    <w:rsid w:val="009F3A88"/>
    <w:rsid w:val="009F44E2"/>
    <w:rsid w:val="009F676C"/>
    <w:rsid w:val="00A00C26"/>
    <w:rsid w:val="00A0235A"/>
    <w:rsid w:val="00A023E9"/>
    <w:rsid w:val="00A03683"/>
    <w:rsid w:val="00A03ACF"/>
    <w:rsid w:val="00A052F4"/>
    <w:rsid w:val="00A06A11"/>
    <w:rsid w:val="00A06BE3"/>
    <w:rsid w:val="00A10983"/>
    <w:rsid w:val="00A11FFA"/>
    <w:rsid w:val="00A120BA"/>
    <w:rsid w:val="00A1211C"/>
    <w:rsid w:val="00A12988"/>
    <w:rsid w:val="00A13AD2"/>
    <w:rsid w:val="00A15EF4"/>
    <w:rsid w:val="00A16CD4"/>
    <w:rsid w:val="00A17EA7"/>
    <w:rsid w:val="00A20113"/>
    <w:rsid w:val="00A20D78"/>
    <w:rsid w:val="00A215F2"/>
    <w:rsid w:val="00A2215F"/>
    <w:rsid w:val="00A22839"/>
    <w:rsid w:val="00A22D5E"/>
    <w:rsid w:val="00A23E19"/>
    <w:rsid w:val="00A24BC1"/>
    <w:rsid w:val="00A2558D"/>
    <w:rsid w:val="00A25EF8"/>
    <w:rsid w:val="00A2730F"/>
    <w:rsid w:val="00A27DED"/>
    <w:rsid w:val="00A31C2A"/>
    <w:rsid w:val="00A329A0"/>
    <w:rsid w:val="00A32F69"/>
    <w:rsid w:val="00A33185"/>
    <w:rsid w:val="00A33CC7"/>
    <w:rsid w:val="00A35CE0"/>
    <w:rsid w:val="00A37568"/>
    <w:rsid w:val="00A41EA2"/>
    <w:rsid w:val="00A439EE"/>
    <w:rsid w:val="00A44B77"/>
    <w:rsid w:val="00A44F1B"/>
    <w:rsid w:val="00A45C00"/>
    <w:rsid w:val="00A47355"/>
    <w:rsid w:val="00A514A2"/>
    <w:rsid w:val="00A52F86"/>
    <w:rsid w:val="00A5322D"/>
    <w:rsid w:val="00A53284"/>
    <w:rsid w:val="00A537E0"/>
    <w:rsid w:val="00A53B04"/>
    <w:rsid w:val="00A555E6"/>
    <w:rsid w:val="00A55F51"/>
    <w:rsid w:val="00A5695E"/>
    <w:rsid w:val="00A576E4"/>
    <w:rsid w:val="00A60299"/>
    <w:rsid w:val="00A6075B"/>
    <w:rsid w:val="00A61138"/>
    <w:rsid w:val="00A61EC2"/>
    <w:rsid w:val="00A63E9C"/>
    <w:rsid w:val="00A661F4"/>
    <w:rsid w:val="00A662BD"/>
    <w:rsid w:val="00A66326"/>
    <w:rsid w:val="00A665DE"/>
    <w:rsid w:val="00A66637"/>
    <w:rsid w:val="00A6736A"/>
    <w:rsid w:val="00A709E7"/>
    <w:rsid w:val="00A7271A"/>
    <w:rsid w:val="00A739DE"/>
    <w:rsid w:val="00A74D79"/>
    <w:rsid w:val="00A75E0E"/>
    <w:rsid w:val="00A77237"/>
    <w:rsid w:val="00A77E87"/>
    <w:rsid w:val="00A81E19"/>
    <w:rsid w:val="00A8307B"/>
    <w:rsid w:val="00A830EC"/>
    <w:rsid w:val="00A8351B"/>
    <w:rsid w:val="00A83BFE"/>
    <w:rsid w:val="00A84D7A"/>
    <w:rsid w:val="00A85781"/>
    <w:rsid w:val="00A879B4"/>
    <w:rsid w:val="00A90095"/>
    <w:rsid w:val="00A900C9"/>
    <w:rsid w:val="00A911AA"/>
    <w:rsid w:val="00A931A2"/>
    <w:rsid w:val="00A935E7"/>
    <w:rsid w:val="00A96B2D"/>
    <w:rsid w:val="00A96F45"/>
    <w:rsid w:val="00A9723B"/>
    <w:rsid w:val="00A97953"/>
    <w:rsid w:val="00AA103C"/>
    <w:rsid w:val="00AA4433"/>
    <w:rsid w:val="00AA74DA"/>
    <w:rsid w:val="00AB2C29"/>
    <w:rsid w:val="00AB35A5"/>
    <w:rsid w:val="00AB73F6"/>
    <w:rsid w:val="00AB77E7"/>
    <w:rsid w:val="00AB795F"/>
    <w:rsid w:val="00AC2DBA"/>
    <w:rsid w:val="00AC30B7"/>
    <w:rsid w:val="00AC554D"/>
    <w:rsid w:val="00AC6312"/>
    <w:rsid w:val="00AC634F"/>
    <w:rsid w:val="00AC635C"/>
    <w:rsid w:val="00AC6CB8"/>
    <w:rsid w:val="00AD0062"/>
    <w:rsid w:val="00AD093B"/>
    <w:rsid w:val="00AD0C9D"/>
    <w:rsid w:val="00AD1E77"/>
    <w:rsid w:val="00AD33E8"/>
    <w:rsid w:val="00AD4424"/>
    <w:rsid w:val="00AD6D80"/>
    <w:rsid w:val="00AE0156"/>
    <w:rsid w:val="00AE27FE"/>
    <w:rsid w:val="00AE2D22"/>
    <w:rsid w:val="00AE7122"/>
    <w:rsid w:val="00AE71B5"/>
    <w:rsid w:val="00AE73D2"/>
    <w:rsid w:val="00AE7FC5"/>
    <w:rsid w:val="00AF07AD"/>
    <w:rsid w:val="00AF58FF"/>
    <w:rsid w:val="00AF7431"/>
    <w:rsid w:val="00B0185B"/>
    <w:rsid w:val="00B0195F"/>
    <w:rsid w:val="00B01AA0"/>
    <w:rsid w:val="00B01CD8"/>
    <w:rsid w:val="00B01CF9"/>
    <w:rsid w:val="00B021E2"/>
    <w:rsid w:val="00B03916"/>
    <w:rsid w:val="00B03B47"/>
    <w:rsid w:val="00B04739"/>
    <w:rsid w:val="00B04B3E"/>
    <w:rsid w:val="00B079FA"/>
    <w:rsid w:val="00B10BF9"/>
    <w:rsid w:val="00B1160D"/>
    <w:rsid w:val="00B116D9"/>
    <w:rsid w:val="00B139FB"/>
    <w:rsid w:val="00B1496C"/>
    <w:rsid w:val="00B16D8D"/>
    <w:rsid w:val="00B17339"/>
    <w:rsid w:val="00B20F7A"/>
    <w:rsid w:val="00B20FA3"/>
    <w:rsid w:val="00B2125D"/>
    <w:rsid w:val="00B216A0"/>
    <w:rsid w:val="00B226E9"/>
    <w:rsid w:val="00B232E4"/>
    <w:rsid w:val="00B24909"/>
    <w:rsid w:val="00B24998"/>
    <w:rsid w:val="00B250BB"/>
    <w:rsid w:val="00B2515C"/>
    <w:rsid w:val="00B2683D"/>
    <w:rsid w:val="00B313E6"/>
    <w:rsid w:val="00B32326"/>
    <w:rsid w:val="00B32A97"/>
    <w:rsid w:val="00B33E99"/>
    <w:rsid w:val="00B36CAD"/>
    <w:rsid w:val="00B37990"/>
    <w:rsid w:val="00B40A42"/>
    <w:rsid w:val="00B40B93"/>
    <w:rsid w:val="00B40FC3"/>
    <w:rsid w:val="00B4156E"/>
    <w:rsid w:val="00B4338B"/>
    <w:rsid w:val="00B444E6"/>
    <w:rsid w:val="00B44BBC"/>
    <w:rsid w:val="00B45333"/>
    <w:rsid w:val="00B455DD"/>
    <w:rsid w:val="00B46413"/>
    <w:rsid w:val="00B46952"/>
    <w:rsid w:val="00B46EEB"/>
    <w:rsid w:val="00B47187"/>
    <w:rsid w:val="00B47CD1"/>
    <w:rsid w:val="00B47F00"/>
    <w:rsid w:val="00B50013"/>
    <w:rsid w:val="00B52011"/>
    <w:rsid w:val="00B53518"/>
    <w:rsid w:val="00B53EFF"/>
    <w:rsid w:val="00B54A0B"/>
    <w:rsid w:val="00B54AFA"/>
    <w:rsid w:val="00B57C9B"/>
    <w:rsid w:val="00B57E42"/>
    <w:rsid w:val="00B6116B"/>
    <w:rsid w:val="00B61D02"/>
    <w:rsid w:val="00B625DA"/>
    <w:rsid w:val="00B63AF6"/>
    <w:rsid w:val="00B63F04"/>
    <w:rsid w:val="00B671A4"/>
    <w:rsid w:val="00B679A7"/>
    <w:rsid w:val="00B73057"/>
    <w:rsid w:val="00B77F02"/>
    <w:rsid w:val="00B8033F"/>
    <w:rsid w:val="00B804E8"/>
    <w:rsid w:val="00B82F79"/>
    <w:rsid w:val="00B8474C"/>
    <w:rsid w:val="00B86DA5"/>
    <w:rsid w:val="00B91052"/>
    <w:rsid w:val="00B9110F"/>
    <w:rsid w:val="00B91B1D"/>
    <w:rsid w:val="00B94244"/>
    <w:rsid w:val="00B94BFB"/>
    <w:rsid w:val="00B97789"/>
    <w:rsid w:val="00BA16B2"/>
    <w:rsid w:val="00BA1859"/>
    <w:rsid w:val="00BA23C4"/>
    <w:rsid w:val="00BA4982"/>
    <w:rsid w:val="00BA60E5"/>
    <w:rsid w:val="00BA6601"/>
    <w:rsid w:val="00BA7875"/>
    <w:rsid w:val="00BB38FD"/>
    <w:rsid w:val="00BB4A24"/>
    <w:rsid w:val="00BB4BE4"/>
    <w:rsid w:val="00BB65C9"/>
    <w:rsid w:val="00BB7E8F"/>
    <w:rsid w:val="00BC0502"/>
    <w:rsid w:val="00BC1143"/>
    <w:rsid w:val="00BC206C"/>
    <w:rsid w:val="00BC3C02"/>
    <w:rsid w:val="00BC431A"/>
    <w:rsid w:val="00BC542D"/>
    <w:rsid w:val="00BC78B2"/>
    <w:rsid w:val="00BD1B0B"/>
    <w:rsid w:val="00BD20C7"/>
    <w:rsid w:val="00BD2A96"/>
    <w:rsid w:val="00BD2E31"/>
    <w:rsid w:val="00BD34AF"/>
    <w:rsid w:val="00BD6B04"/>
    <w:rsid w:val="00BD6D88"/>
    <w:rsid w:val="00BD768F"/>
    <w:rsid w:val="00BE12CF"/>
    <w:rsid w:val="00BE2A29"/>
    <w:rsid w:val="00BE31E8"/>
    <w:rsid w:val="00BE3223"/>
    <w:rsid w:val="00BE3B2C"/>
    <w:rsid w:val="00BE464A"/>
    <w:rsid w:val="00BE71D1"/>
    <w:rsid w:val="00BF12C0"/>
    <w:rsid w:val="00BF1B65"/>
    <w:rsid w:val="00BF2CA1"/>
    <w:rsid w:val="00BF5316"/>
    <w:rsid w:val="00BF5AFA"/>
    <w:rsid w:val="00BF5E2C"/>
    <w:rsid w:val="00BF650A"/>
    <w:rsid w:val="00C01A35"/>
    <w:rsid w:val="00C03116"/>
    <w:rsid w:val="00C03772"/>
    <w:rsid w:val="00C04C08"/>
    <w:rsid w:val="00C04EDA"/>
    <w:rsid w:val="00C069B7"/>
    <w:rsid w:val="00C11613"/>
    <w:rsid w:val="00C119A2"/>
    <w:rsid w:val="00C12095"/>
    <w:rsid w:val="00C16F91"/>
    <w:rsid w:val="00C17EC8"/>
    <w:rsid w:val="00C21DB6"/>
    <w:rsid w:val="00C22684"/>
    <w:rsid w:val="00C22D53"/>
    <w:rsid w:val="00C24D8B"/>
    <w:rsid w:val="00C250D3"/>
    <w:rsid w:val="00C27884"/>
    <w:rsid w:val="00C300E0"/>
    <w:rsid w:val="00C30543"/>
    <w:rsid w:val="00C32E53"/>
    <w:rsid w:val="00C338E1"/>
    <w:rsid w:val="00C41D65"/>
    <w:rsid w:val="00C4290B"/>
    <w:rsid w:val="00C42DDC"/>
    <w:rsid w:val="00C43BE4"/>
    <w:rsid w:val="00C4484E"/>
    <w:rsid w:val="00C4490E"/>
    <w:rsid w:val="00C46F5A"/>
    <w:rsid w:val="00C50120"/>
    <w:rsid w:val="00C5118A"/>
    <w:rsid w:val="00C5126D"/>
    <w:rsid w:val="00C52CA3"/>
    <w:rsid w:val="00C53F1A"/>
    <w:rsid w:val="00C54062"/>
    <w:rsid w:val="00C54271"/>
    <w:rsid w:val="00C57267"/>
    <w:rsid w:val="00C57678"/>
    <w:rsid w:val="00C61332"/>
    <w:rsid w:val="00C616FF"/>
    <w:rsid w:val="00C6275E"/>
    <w:rsid w:val="00C62AD0"/>
    <w:rsid w:val="00C62B63"/>
    <w:rsid w:val="00C64C6B"/>
    <w:rsid w:val="00C6539D"/>
    <w:rsid w:val="00C672E7"/>
    <w:rsid w:val="00C714A0"/>
    <w:rsid w:val="00C72B5B"/>
    <w:rsid w:val="00C73C33"/>
    <w:rsid w:val="00C74D78"/>
    <w:rsid w:val="00C76837"/>
    <w:rsid w:val="00C77385"/>
    <w:rsid w:val="00C82707"/>
    <w:rsid w:val="00C859ED"/>
    <w:rsid w:val="00C869F3"/>
    <w:rsid w:val="00C91380"/>
    <w:rsid w:val="00C916B3"/>
    <w:rsid w:val="00C92100"/>
    <w:rsid w:val="00C923F6"/>
    <w:rsid w:val="00C96983"/>
    <w:rsid w:val="00C975CE"/>
    <w:rsid w:val="00C9779C"/>
    <w:rsid w:val="00CA196C"/>
    <w:rsid w:val="00CA3100"/>
    <w:rsid w:val="00CA591C"/>
    <w:rsid w:val="00CA7208"/>
    <w:rsid w:val="00CB210D"/>
    <w:rsid w:val="00CB4C9C"/>
    <w:rsid w:val="00CC18AC"/>
    <w:rsid w:val="00CC2F12"/>
    <w:rsid w:val="00CC2F2A"/>
    <w:rsid w:val="00CC35A1"/>
    <w:rsid w:val="00CC413E"/>
    <w:rsid w:val="00CC513D"/>
    <w:rsid w:val="00CC5B0A"/>
    <w:rsid w:val="00CC7A3E"/>
    <w:rsid w:val="00CD116F"/>
    <w:rsid w:val="00CD4414"/>
    <w:rsid w:val="00CD4F5E"/>
    <w:rsid w:val="00CD5568"/>
    <w:rsid w:val="00CD56A4"/>
    <w:rsid w:val="00CD57CE"/>
    <w:rsid w:val="00CD6F61"/>
    <w:rsid w:val="00CD7D5D"/>
    <w:rsid w:val="00CE0233"/>
    <w:rsid w:val="00CE0322"/>
    <w:rsid w:val="00CE2439"/>
    <w:rsid w:val="00CE6DEB"/>
    <w:rsid w:val="00CF0440"/>
    <w:rsid w:val="00CF0621"/>
    <w:rsid w:val="00CF0D0B"/>
    <w:rsid w:val="00CF0FC4"/>
    <w:rsid w:val="00CF3F0B"/>
    <w:rsid w:val="00CF6406"/>
    <w:rsid w:val="00CF6932"/>
    <w:rsid w:val="00CF78D8"/>
    <w:rsid w:val="00D00452"/>
    <w:rsid w:val="00D01324"/>
    <w:rsid w:val="00D01FE3"/>
    <w:rsid w:val="00D02224"/>
    <w:rsid w:val="00D02FE7"/>
    <w:rsid w:val="00D0381E"/>
    <w:rsid w:val="00D043DD"/>
    <w:rsid w:val="00D06CA3"/>
    <w:rsid w:val="00D074BE"/>
    <w:rsid w:val="00D07DF7"/>
    <w:rsid w:val="00D07F46"/>
    <w:rsid w:val="00D10792"/>
    <w:rsid w:val="00D13833"/>
    <w:rsid w:val="00D1512B"/>
    <w:rsid w:val="00D16D26"/>
    <w:rsid w:val="00D170E5"/>
    <w:rsid w:val="00D217D2"/>
    <w:rsid w:val="00D2269C"/>
    <w:rsid w:val="00D22E35"/>
    <w:rsid w:val="00D236C4"/>
    <w:rsid w:val="00D23739"/>
    <w:rsid w:val="00D239B1"/>
    <w:rsid w:val="00D30587"/>
    <w:rsid w:val="00D3116B"/>
    <w:rsid w:val="00D324F9"/>
    <w:rsid w:val="00D329F5"/>
    <w:rsid w:val="00D332A9"/>
    <w:rsid w:val="00D365CA"/>
    <w:rsid w:val="00D36B0F"/>
    <w:rsid w:val="00D373E8"/>
    <w:rsid w:val="00D374A8"/>
    <w:rsid w:val="00D37F2F"/>
    <w:rsid w:val="00D40C39"/>
    <w:rsid w:val="00D415B9"/>
    <w:rsid w:val="00D41E0E"/>
    <w:rsid w:val="00D44575"/>
    <w:rsid w:val="00D46C06"/>
    <w:rsid w:val="00D46D8B"/>
    <w:rsid w:val="00D50740"/>
    <w:rsid w:val="00D51289"/>
    <w:rsid w:val="00D518C7"/>
    <w:rsid w:val="00D528E8"/>
    <w:rsid w:val="00D5538B"/>
    <w:rsid w:val="00D60CA3"/>
    <w:rsid w:val="00D61DD6"/>
    <w:rsid w:val="00D63C4F"/>
    <w:rsid w:val="00D6471D"/>
    <w:rsid w:val="00D651A3"/>
    <w:rsid w:val="00D712DB"/>
    <w:rsid w:val="00D73EB6"/>
    <w:rsid w:val="00D744BC"/>
    <w:rsid w:val="00D74945"/>
    <w:rsid w:val="00D752B7"/>
    <w:rsid w:val="00D7628C"/>
    <w:rsid w:val="00D76B26"/>
    <w:rsid w:val="00D771D0"/>
    <w:rsid w:val="00D778F5"/>
    <w:rsid w:val="00D77B66"/>
    <w:rsid w:val="00D77CF6"/>
    <w:rsid w:val="00D835CF"/>
    <w:rsid w:val="00D8370A"/>
    <w:rsid w:val="00D844DD"/>
    <w:rsid w:val="00D84946"/>
    <w:rsid w:val="00D879C3"/>
    <w:rsid w:val="00D87DC2"/>
    <w:rsid w:val="00D90181"/>
    <w:rsid w:val="00D91096"/>
    <w:rsid w:val="00D919D8"/>
    <w:rsid w:val="00D91C5A"/>
    <w:rsid w:val="00D92675"/>
    <w:rsid w:val="00D9684B"/>
    <w:rsid w:val="00D9690A"/>
    <w:rsid w:val="00D9758D"/>
    <w:rsid w:val="00DA09EA"/>
    <w:rsid w:val="00DA176F"/>
    <w:rsid w:val="00DA26FB"/>
    <w:rsid w:val="00DA36BE"/>
    <w:rsid w:val="00DA4E7B"/>
    <w:rsid w:val="00DA5E1E"/>
    <w:rsid w:val="00DA64C1"/>
    <w:rsid w:val="00DA7B94"/>
    <w:rsid w:val="00DB2B9C"/>
    <w:rsid w:val="00DB6C3D"/>
    <w:rsid w:val="00DB7E61"/>
    <w:rsid w:val="00DC17DD"/>
    <w:rsid w:val="00DC2D00"/>
    <w:rsid w:val="00DC3CA3"/>
    <w:rsid w:val="00DC4A34"/>
    <w:rsid w:val="00DC4D42"/>
    <w:rsid w:val="00DC5ACF"/>
    <w:rsid w:val="00DD07D4"/>
    <w:rsid w:val="00DD0F3F"/>
    <w:rsid w:val="00DD1B60"/>
    <w:rsid w:val="00DD1CA2"/>
    <w:rsid w:val="00DD348F"/>
    <w:rsid w:val="00DD3573"/>
    <w:rsid w:val="00DD7468"/>
    <w:rsid w:val="00DD7696"/>
    <w:rsid w:val="00DD7ED8"/>
    <w:rsid w:val="00DE17E4"/>
    <w:rsid w:val="00DE25E9"/>
    <w:rsid w:val="00DE2AA0"/>
    <w:rsid w:val="00DE51E6"/>
    <w:rsid w:val="00DE558F"/>
    <w:rsid w:val="00DE66BA"/>
    <w:rsid w:val="00DE7195"/>
    <w:rsid w:val="00DE71D3"/>
    <w:rsid w:val="00DE72CF"/>
    <w:rsid w:val="00DF01DB"/>
    <w:rsid w:val="00DF08A0"/>
    <w:rsid w:val="00DF14FA"/>
    <w:rsid w:val="00DF1838"/>
    <w:rsid w:val="00DF3302"/>
    <w:rsid w:val="00DF6C18"/>
    <w:rsid w:val="00DF78D3"/>
    <w:rsid w:val="00DF7F3F"/>
    <w:rsid w:val="00E031CF"/>
    <w:rsid w:val="00E03971"/>
    <w:rsid w:val="00E06635"/>
    <w:rsid w:val="00E11EBC"/>
    <w:rsid w:val="00E126DE"/>
    <w:rsid w:val="00E128F9"/>
    <w:rsid w:val="00E12909"/>
    <w:rsid w:val="00E12E59"/>
    <w:rsid w:val="00E13BEF"/>
    <w:rsid w:val="00E14C86"/>
    <w:rsid w:val="00E15D41"/>
    <w:rsid w:val="00E16231"/>
    <w:rsid w:val="00E21DF4"/>
    <w:rsid w:val="00E24D37"/>
    <w:rsid w:val="00E31B30"/>
    <w:rsid w:val="00E325CC"/>
    <w:rsid w:val="00E34360"/>
    <w:rsid w:val="00E34DB3"/>
    <w:rsid w:val="00E3541A"/>
    <w:rsid w:val="00E410E2"/>
    <w:rsid w:val="00E42A44"/>
    <w:rsid w:val="00E42F33"/>
    <w:rsid w:val="00E4630F"/>
    <w:rsid w:val="00E468DB"/>
    <w:rsid w:val="00E50558"/>
    <w:rsid w:val="00E50A07"/>
    <w:rsid w:val="00E51B24"/>
    <w:rsid w:val="00E52E19"/>
    <w:rsid w:val="00E53C6A"/>
    <w:rsid w:val="00E54F61"/>
    <w:rsid w:val="00E5535A"/>
    <w:rsid w:val="00E57042"/>
    <w:rsid w:val="00E5798D"/>
    <w:rsid w:val="00E605A7"/>
    <w:rsid w:val="00E620E2"/>
    <w:rsid w:val="00E62B63"/>
    <w:rsid w:val="00E66483"/>
    <w:rsid w:val="00E70712"/>
    <w:rsid w:val="00E70760"/>
    <w:rsid w:val="00E723E0"/>
    <w:rsid w:val="00E7324E"/>
    <w:rsid w:val="00E73663"/>
    <w:rsid w:val="00E743B8"/>
    <w:rsid w:val="00E74A2E"/>
    <w:rsid w:val="00E76DA6"/>
    <w:rsid w:val="00E80B9C"/>
    <w:rsid w:val="00E85613"/>
    <w:rsid w:val="00E90791"/>
    <w:rsid w:val="00E90F6B"/>
    <w:rsid w:val="00E91FE7"/>
    <w:rsid w:val="00E9253C"/>
    <w:rsid w:val="00E92E64"/>
    <w:rsid w:val="00E930B7"/>
    <w:rsid w:val="00E93EA1"/>
    <w:rsid w:val="00E97A57"/>
    <w:rsid w:val="00EA0FD1"/>
    <w:rsid w:val="00EA13B3"/>
    <w:rsid w:val="00EA3AD8"/>
    <w:rsid w:val="00EA537D"/>
    <w:rsid w:val="00EA6AF0"/>
    <w:rsid w:val="00EA6D70"/>
    <w:rsid w:val="00EA7E52"/>
    <w:rsid w:val="00EA7FAC"/>
    <w:rsid w:val="00EB03E1"/>
    <w:rsid w:val="00EB325C"/>
    <w:rsid w:val="00EB3CF0"/>
    <w:rsid w:val="00EB3F4D"/>
    <w:rsid w:val="00EB45B5"/>
    <w:rsid w:val="00EB5E57"/>
    <w:rsid w:val="00EB61DB"/>
    <w:rsid w:val="00EB77B1"/>
    <w:rsid w:val="00EB7902"/>
    <w:rsid w:val="00EC4F03"/>
    <w:rsid w:val="00EC601F"/>
    <w:rsid w:val="00EC67ED"/>
    <w:rsid w:val="00EC73CE"/>
    <w:rsid w:val="00ED1AD0"/>
    <w:rsid w:val="00ED244E"/>
    <w:rsid w:val="00ED3AA7"/>
    <w:rsid w:val="00ED4183"/>
    <w:rsid w:val="00ED4AFD"/>
    <w:rsid w:val="00ED5550"/>
    <w:rsid w:val="00ED6776"/>
    <w:rsid w:val="00EE06E5"/>
    <w:rsid w:val="00EE0DD0"/>
    <w:rsid w:val="00EE0F99"/>
    <w:rsid w:val="00EE129E"/>
    <w:rsid w:val="00EE1A6B"/>
    <w:rsid w:val="00EE4933"/>
    <w:rsid w:val="00EE4FBE"/>
    <w:rsid w:val="00EF3922"/>
    <w:rsid w:val="00EF4A24"/>
    <w:rsid w:val="00EF6297"/>
    <w:rsid w:val="00EF7D5B"/>
    <w:rsid w:val="00F01A35"/>
    <w:rsid w:val="00F02877"/>
    <w:rsid w:val="00F038A1"/>
    <w:rsid w:val="00F04398"/>
    <w:rsid w:val="00F04B15"/>
    <w:rsid w:val="00F05DE4"/>
    <w:rsid w:val="00F06117"/>
    <w:rsid w:val="00F06E4E"/>
    <w:rsid w:val="00F07E06"/>
    <w:rsid w:val="00F10609"/>
    <w:rsid w:val="00F11754"/>
    <w:rsid w:val="00F118B4"/>
    <w:rsid w:val="00F13574"/>
    <w:rsid w:val="00F16A55"/>
    <w:rsid w:val="00F16C0C"/>
    <w:rsid w:val="00F238E0"/>
    <w:rsid w:val="00F2581D"/>
    <w:rsid w:val="00F27A3E"/>
    <w:rsid w:val="00F303EF"/>
    <w:rsid w:val="00F3117B"/>
    <w:rsid w:val="00F31D4F"/>
    <w:rsid w:val="00F320EF"/>
    <w:rsid w:val="00F34414"/>
    <w:rsid w:val="00F36AA4"/>
    <w:rsid w:val="00F3776F"/>
    <w:rsid w:val="00F378BC"/>
    <w:rsid w:val="00F378DE"/>
    <w:rsid w:val="00F412CF"/>
    <w:rsid w:val="00F4293D"/>
    <w:rsid w:val="00F431E5"/>
    <w:rsid w:val="00F44DF5"/>
    <w:rsid w:val="00F44E87"/>
    <w:rsid w:val="00F47135"/>
    <w:rsid w:val="00F474CE"/>
    <w:rsid w:val="00F51493"/>
    <w:rsid w:val="00F51E01"/>
    <w:rsid w:val="00F531A8"/>
    <w:rsid w:val="00F5456A"/>
    <w:rsid w:val="00F5649A"/>
    <w:rsid w:val="00F57183"/>
    <w:rsid w:val="00F57E9B"/>
    <w:rsid w:val="00F6046D"/>
    <w:rsid w:val="00F67DC5"/>
    <w:rsid w:val="00F7127C"/>
    <w:rsid w:val="00F712B7"/>
    <w:rsid w:val="00F72429"/>
    <w:rsid w:val="00F73743"/>
    <w:rsid w:val="00F77130"/>
    <w:rsid w:val="00F77476"/>
    <w:rsid w:val="00F82342"/>
    <w:rsid w:val="00F82370"/>
    <w:rsid w:val="00F82B66"/>
    <w:rsid w:val="00F8519F"/>
    <w:rsid w:val="00F877DB"/>
    <w:rsid w:val="00F8786B"/>
    <w:rsid w:val="00F911DD"/>
    <w:rsid w:val="00F9127B"/>
    <w:rsid w:val="00F91AE4"/>
    <w:rsid w:val="00F929DD"/>
    <w:rsid w:val="00F92F8B"/>
    <w:rsid w:val="00F93079"/>
    <w:rsid w:val="00F93587"/>
    <w:rsid w:val="00F93C8B"/>
    <w:rsid w:val="00F9437B"/>
    <w:rsid w:val="00F947C1"/>
    <w:rsid w:val="00F959DD"/>
    <w:rsid w:val="00F95CE7"/>
    <w:rsid w:val="00F960D5"/>
    <w:rsid w:val="00F962C8"/>
    <w:rsid w:val="00F96DA3"/>
    <w:rsid w:val="00F97164"/>
    <w:rsid w:val="00FA3CCB"/>
    <w:rsid w:val="00FA48A4"/>
    <w:rsid w:val="00FA5979"/>
    <w:rsid w:val="00FA7085"/>
    <w:rsid w:val="00FB1231"/>
    <w:rsid w:val="00FB19B0"/>
    <w:rsid w:val="00FB32EC"/>
    <w:rsid w:val="00FB5C84"/>
    <w:rsid w:val="00FB6485"/>
    <w:rsid w:val="00FB6EAC"/>
    <w:rsid w:val="00FB717B"/>
    <w:rsid w:val="00FC1173"/>
    <w:rsid w:val="00FC11AF"/>
    <w:rsid w:val="00FC1A88"/>
    <w:rsid w:val="00FC1C5C"/>
    <w:rsid w:val="00FC292E"/>
    <w:rsid w:val="00FC2DA7"/>
    <w:rsid w:val="00FC4AE0"/>
    <w:rsid w:val="00FC521E"/>
    <w:rsid w:val="00FC6012"/>
    <w:rsid w:val="00FC63A4"/>
    <w:rsid w:val="00FD30C7"/>
    <w:rsid w:val="00FD3E39"/>
    <w:rsid w:val="00FD4416"/>
    <w:rsid w:val="00FE017E"/>
    <w:rsid w:val="00FE074B"/>
    <w:rsid w:val="00FE146A"/>
    <w:rsid w:val="00FE17E2"/>
    <w:rsid w:val="00FE336C"/>
    <w:rsid w:val="00FE3A1B"/>
    <w:rsid w:val="00FE41A3"/>
    <w:rsid w:val="00FE49D6"/>
    <w:rsid w:val="00FE4C5A"/>
    <w:rsid w:val="00FE4D44"/>
    <w:rsid w:val="00FE521D"/>
    <w:rsid w:val="00FE68F8"/>
    <w:rsid w:val="00FE6FEC"/>
    <w:rsid w:val="00FF0294"/>
    <w:rsid w:val="00FF1F8C"/>
    <w:rsid w:val="00FF3A58"/>
    <w:rsid w:val="00FF3A98"/>
    <w:rsid w:val="00FF4B50"/>
    <w:rsid w:val="00FF62E8"/>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unhideWhenUsed/>
    <w:rsid w:val="0059147A"/>
    <w:rPr>
      <w:sz w:val="16"/>
      <w:szCs w:val="16"/>
    </w:rPr>
  </w:style>
  <w:style w:type="paragraph" w:styleId="CommentText">
    <w:name w:val="annotation text"/>
    <w:basedOn w:val="Normal"/>
    <w:link w:val="CommentTextChar"/>
    <w:unhideWhenUsed/>
    <w:rsid w:val="0059147A"/>
    <w:rPr>
      <w:sz w:val="20"/>
    </w:rPr>
  </w:style>
  <w:style w:type="character" w:customStyle="1" w:styleId="CommentTextChar">
    <w:name w:val="Comment Text Char"/>
    <w:basedOn w:val="DefaultParagraphFont"/>
    <w:link w:val="CommentText"/>
    <w:rsid w:val="0059147A"/>
    <w:rPr>
      <w:rFonts w:ascii="Arial" w:hAnsi="Arial"/>
      <w:lang w:eastAsia="en-US"/>
    </w:rPr>
  </w:style>
  <w:style w:type="paragraph" w:styleId="CommentSubject">
    <w:name w:val="annotation subject"/>
    <w:basedOn w:val="CommentText"/>
    <w:next w:val="CommentText"/>
    <w:link w:val="CommentSubjectChar"/>
    <w:semiHidden/>
    <w:unhideWhenUsed/>
    <w:rsid w:val="0059147A"/>
    <w:rPr>
      <w:b/>
      <w:bCs/>
    </w:rPr>
  </w:style>
  <w:style w:type="character" w:customStyle="1" w:styleId="CommentSubjectChar">
    <w:name w:val="Comment Subject Char"/>
    <w:basedOn w:val="CommentTextChar"/>
    <w:link w:val="CommentSubject"/>
    <w:semiHidden/>
    <w:rsid w:val="0059147A"/>
    <w:rPr>
      <w:rFonts w:ascii="Arial" w:hAnsi="Arial"/>
      <w:b/>
      <w:bCs/>
      <w:lang w:eastAsia="en-US"/>
    </w:rPr>
  </w:style>
  <w:style w:type="character" w:customStyle="1" w:styleId="BodyTextChar">
    <w:name w:val="Body Text Char"/>
    <w:basedOn w:val="DefaultParagraphFont"/>
    <w:link w:val="BodyText"/>
    <w:rsid w:val="009A2E6C"/>
    <w:rPr>
      <w:rFonts w:ascii="Arial" w:hAnsi="Arial" w:cs="Arial"/>
      <w:i/>
      <w:iCs/>
      <w:sz w:val="24"/>
      <w:lang w:eastAsia="en-US"/>
    </w:rPr>
  </w:style>
  <w:style w:type="paragraph" w:styleId="Revision">
    <w:name w:val="Revision"/>
    <w:hidden/>
    <w:uiPriority w:val="99"/>
    <w:semiHidden/>
    <w:rsid w:val="00D374A8"/>
    <w:rPr>
      <w:rFonts w:ascii="Arial" w:hAnsi="Arial"/>
      <w:sz w:val="24"/>
      <w:lang w:eastAsia="en-US"/>
    </w:rPr>
  </w:style>
  <w:style w:type="character" w:customStyle="1" w:styleId="Heading4Char">
    <w:name w:val="Heading 4 Char"/>
    <w:basedOn w:val="DefaultParagraphFont"/>
    <w:link w:val="Heading4"/>
    <w:rsid w:val="000913A5"/>
    <w:rPr>
      <w:rFonts w:ascii="Arial" w:hAnsi="Arial" w:cs="Arial"/>
      <w:b/>
      <w:sz w:val="24"/>
      <w:lang w:eastAsia="en-US"/>
    </w:rPr>
  </w:style>
  <w:style w:type="paragraph" w:customStyle="1" w:styleId="Level2">
    <w:name w:val="Level 2"/>
    <w:basedOn w:val="Normal"/>
    <w:qFormat/>
    <w:rsid w:val="000D7D4C"/>
    <w:pPr>
      <w:numPr>
        <w:ilvl w:val="1"/>
        <w:numId w:val="21"/>
      </w:numPr>
      <w:spacing w:after="240" w:line="312" w:lineRule="auto"/>
      <w:jc w:val="both"/>
      <w:outlineLvl w:val="1"/>
    </w:pPr>
    <w:rPr>
      <w:rFonts w:ascii="Calibri" w:hAnsi="Calibri"/>
      <w:b/>
      <w:bCs/>
      <w:szCs w:val="24"/>
      <w:lang w:eastAsia="en-GB"/>
    </w:rPr>
  </w:style>
  <w:style w:type="paragraph" w:customStyle="1" w:styleId="Level3">
    <w:name w:val="Level 3"/>
    <w:basedOn w:val="Normal"/>
    <w:qFormat/>
    <w:rsid w:val="000D7D4C"/>
    <w:pPr>
      <w:numPr>
        <w:ilvl w:val="2"/>
        <w:numId w:val="21"/>
      </w:numPr>
      <w:spacing w:after="240" w:line="312" w:lineRule="auto"/>
      <w:jc w:val="both"/>
      <w:outlineLvl w:val="2"/>
    </w:pPr>
    <w:rPr>
      <w:rFonts w:ascii="Calibri" w:hAnsi="Calibri"/>
      <w:b/>
      <w:bCs/>
      <w:sz w:val="22"/>
      <w:szCs w:val="22"/>
      <w:lang w:eastAsia="en-GB"/>
    </w:rPr>
  </w:style>
  <w:style w:type="paragraph" w:customStyle="1" w:styleId="TableParagraph">
    <w:name w:val="Table Paragraph"/>
    <w:basedOn w:val="Normal"/>
    <w:uiPriority w:val="1"/>
    <w:qFormat/>
    <w:rsid w:val="00223B3A"/>
    <w:pPr>
      <w:widowControl w:val="0"/>
      <w:autoSpaceDE w:val="0"/>
      <w:autoSpaceDN w:val="0"/>
      <w:ind w:left="110"/>
    </w:pPr>
    <w:rPr>
      <w:rFonts w:ascii="Carlito" w:eastAsia="Carlito" w:hAnsi="Carlito" w:cs="Carlito"/>
      <w:sz w:val="22"/>
      <w:szCs w:val="22"/>
      <w:lang w:val="en-US"/>
    </w:rPr>
  </w:style>
  <w:style w:type="character" w:customStyle="1" w:styleId="FooterChar">
    <w:name w:val="Footer Char"/>
    <w:basedOn w:val="DefaultParagraphFont"/>
    <w:link w:val="Footer"/>
    <w:uiPriority w:val="99"/>
    <w:rsid w:val="00522400"/>
    <w:rPr>
      <w:rFonts w:ascii="Arial" w:hAnsi="Arial"/>
      <w:sz w:val="24"/>
      <w:szCs w:val="24"/>
      <w:lang w:val="en-US" w:eastAsia="en-US"/>
    </w:rPr>
  </w:style>
  <w:style w:type="paragraph" w:styleId="BodyText3">
    <w:name w:val="Body Text 3"/>
    <w:basedOn w:val="Normal"/>
    <w:link w:val="BodyText3Char"/>
    <w:unhideWhenUsed/>
    <w:rsid w:val="008246B7"/>
    <w:pPr>
      <w:spacing w:after="120"/>
    </w:pPr>
    <w:rPr>
      <w:sz w:val="16"/>
      <w:szCs w:val="16"/>
    </w:rPr>
  </w:style>
  <w:style w:type="character" w:customStyle="1" w:styleId="BodyText3Char">
    <w:name w:val="Body Text 3 Char"/>
    <w:basedOn w:val="DefaultParagraphFont"/>
    <w:link w:val="BodyText3"/>
    <w:rsid w:val="008246B7"/>
    <w:rPr>
      <w:rFonts w:ascii="Arial" w:hAnsi="Arial"/>
      <w:sz w:val="16"/>
      <w:szCs w:val="16"/>
      <w:lang w:eastAsia="en-US"/>
    </w:rPr>
  </w:style>
  <w:style w:type="paragraph" w:customStyle="1" w:styleId="Default">
    <w:name w:val="Default"/>
    <w:rsid w:val="008246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3154">
      <w:bodyDiv w:val="1"/>
      <w:marLeft w:val="0"/>
      <w:marRight w:val="0"/>
      <w:marTop w:val="0"/>
      <w:marBottom w:val="0"/>
      <w:divBdr>
        <w:top w:val="none" w:sz="0" w:space="0" w:color="auto"/>
        <w:left w:val="none" w:sz="0" w:space="0" w:color="auto"/>
        <w:bottom w:val="none" w:sz="0" w:space="0" w:color="auto"/>
        <w:right w:val="none" w:sz="0" w:space="0" w:color="auto"/>
      </w:divBdr>
    </w:div>
    <w:div w:id="61217191">
      <w:bodyDiv w:val="1"/>
      <w:marLeft w:val="0"/>
      <w:marRight w:val="0"/>
      <w:marTop w:val="0"/>
      <w:marBottom w:val="0"/>
      <w:divBdr>
        <w:top w:val="none" w:sz="0" w:space="0" w:color="auto"/>
        <w:left w:val="none" w:sz="0" w:space="0" w:color="auto"/>
        <w:bottom w:val="none" w:sz="0" w:space="0" w:color="auto"/>
        <w:right w:val="none" w:sz="0" w:space="0" w:color="auto"/>
      </w:divBdr>
    </w:div>
    <w:div w:id="64231774">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37572979">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4462210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56037534">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61040220">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56563700">
      <w:bodyDiv w:val="1"/>
      <w:marLeft w:val="0"/>
      <w:marRight w:val="0"/>
      <w:marTop w:val="0"/>
      <w:marBottom w:val="0"/>
      <w:divBdr>
        <w:top w:val="none" w:sz="0" w:space="0" w:color="auto"/>
        <w:left w:val="none" w:sz="0" w:space="0" w:color="auto"/>
        <w:bottom w:val="none" w:sz="0" w:space="0" w:color="auto"/>
        <w:right w:val="none" w:sz="0" w:space="0" w:color="auto"/>
      </w:divBdr>
    </w:div>
    <w:div w:id="1785298728">
      <w:bodyDiv w:val="1"/>
      <w:marLeft w:val="0"/>
      <w:marRight w:val="0"/>
      <w:marTop w:val="0"/>
      <w:marBottom w:val="0"/>
      <w:divBdr>
        <w:top w:val="none" w:sz="0" w:space="0" w:color="auto"/>
        <w:left w:val="none" w:sz="0" w:space="0" w:color="auto"/>
        <w:bottom w:val="none" w:sz="0" w:space="0" w:color="auto"/>
        <w:right w:val="none" w:sz="0" w:space="0" w:color="auto"/>
      </w:divBdr>
    </w:div>
    <w:div w:id="1961447588">
      <w:bodyDiv w:val="1"/>
      <w:marLeft w:val="0"/>
      <w:marRight w:val="0"/>
      <w:marTop w:val="0"/>
      <w:marBottom w:val="0"/>
      <w:divBdr>
        <w:top w:val="none" w:sz="0" w:space="0" w:color="auto"/>
        <w:left w:val="none" w:sz="0" w:space="0" w:color="auto"/>
        <w:bottom w:val="none" w:sz="0" w:space="0" w:color="auto"/>
        <w:right w:val="none" w:sz="0" w:space="0" w:color="auto"/>
      </w:divBdr>
    </w:div>
    <w:div w:id="2002271598">
      <w:bodyDiv w:val="1"/>
      <w:marLeft w:val="0"/>
      <w:marRight w:val="0"/>
      <w:marTop w:val="0"/>
      <w:marBottom w:val="0"/>
      <w:divBdr>
        <w:top w:val="none" w:sz="0" w:space="0" w:color="auto"/>
        <w:left w:val="none" w:sz="0" w:space="0" w:color="auto"/>
        <w:bottom w:val="none" w:sz="0" w:space="0" w:color="auto"/>
        <w:right w:val="none" w:sz="0" w:space="0" w:color="auto"/>
      </w:divBdr>
    </w:div>
    <w:div w:id="2065593904">
      <w:bodyDiv w:val="1"/>
      <w:marLeft w:val="0"/>
      <w:marRight w:val="0"/>
      <w:marTop w:val="0"/>
      <w:marBottom w:val="0"/>
      <w:divBdr>
        <w:top w:val="none" w:sz="0" w:space="0" w:color="auto"/>
        <w:left w:val="none" w:sz="0" w:space="0" w:color="auto"/>
        <w:bottom w:val="none" w:sz="0" w:space="0" w:color="auto"/>
        <w:right w:val="none" w:sz="0" w:space="0" w:color="auto"/>
      </w:divBdr>
    </w:div>
    <w:div w:id="2074349402">
      <w:bodyDiv w:val="1"/>
      <w:marLeft w:val="0"/>
      <w:marRight w:val="0"/>
      <w:marTop w:val="0"/>
      <w:marBottom w:val="0"/>
      <w:divBdr>
        <w:top w:val="none" w:sz="0" w:space="0" w:color="auto"/>
        <w:left w:val="none" w:sz="0" w:space="0" w:color="auto"/>
        <w:bottom w:val="none" w:sz="0" w:space="0" w:color="auto"/>
        <w:right w:val="none" w:sz="0" w:space="0" w:color="auto"/>
      </w:divBdr>
    </w:div>
    <w:div w:id="2095084765">
      <w:bodyDiv w:val="1"/>
      <w:marLeft w:val="0"/>
      <w:marRight w:val="0"/>
      <w:marTop w:val="0"/>
      <w:marBottom w:val="0"/>
      <w:divBdr>
        <w:top w:val="none" w:sz="0" w:space="0" w:color="auto"/>
        <w:left w:val="none" w:sz="0" w:space="0" w:color="auto"/>
        <w:bottom w:val="none" w:sz="0" w:space="0" w:color="auto"/>
        <w:right w:val="none" w:sz="0" w:space="0" w:color="auto"/>
      </w:divBdr>
    </w:div>
    <w:div w:id="21180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w.campion@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dbbea29fd9fdb89f94619a1e3434ca95">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272c13aea3dec303b037247ebc969487"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764CA6FC-1B27-4363-97DB-327548B29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27de0dcf-7e4b-46ba-b260-4cfde2c33e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6bdeb93-2270-4bf7-9e85-6688a4728aea"/>
    <ds:schemaRef ds:uri="http://www.w3.org/XML/1998/namespace"/>
    <ds:schemaRef ds:uri="http://purl.org/dc/dcmitype/"/>
  </ds:schemaRefs>
</ds:datastoreItem>
</file>

<file path=customXml/itemProps5.xml><?xml version="1.0" encoding="utf-8"?>
<ds:datastoreItem xmlns:ds="http://schemas.openxmlformats.org/officeDocument/2006/customXml" ds:itemID="{444A9F2F-FB6E-4274-BF15-4F207CB2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5826</Words>
  <Characters>33343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4</cp:revision>
  <cp:lastPrinted>2014-10-31T16:34:00Z</cp:lastPrinted>
  <dcterms:created xsi:type="dcterms:W3CDTF">2021-11-10T11:13:00Z</dcterms:created>
  <dcterms:modified xsi:type="dcterms:W3CDTF">2021-11-10T11:59:00Z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